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13.xml" ContentType="application/vnd.openxmlformats-officedocument.wordprocessingml.header+xml"/>
  <Override PartName="/word/footer10.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settings.xml" ContentType="application/vnd.openxmlformats-officedocument.wordprocessingml.settings+xml"/>
  <Override PartName="/word/header9.xml" ContentType="application/vnd.openxmlformats-officedocument.wordprocessingml.header+xml"/>
  <Override PartName="/word/header5.xml" ContentType="application/vnd.openxmlformats-officedocument.wordprocessingml.header+xml"/>
  <Override PartName="/word/_rels/document.xml.rels" ContentType="application/vnd.openxmlformats-package.relationships+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9.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3.docx" ContentType="application/vnd.openxmlformats-officedocument.wordprocessingml.document"/>
  <Override PartName="/word/embeddings/oleObject4.xlsx" ContentType="application/vnd.openxmlformats-officedocument.spreadsheetml.sheet"/>
  <Override PartName="/word/embeddings/oleObject5.docx" ContentType="application/vnd.openxmlformats-officedocument.wordprocessingml.document"/>
  <Override PartName="/word/media/image1.wmf" ContentType="image/x-wmf"/>
  <Override PartName="/word/media/image2.wmf" ContentType="image/x-wmf"/>
  <Override PartName="/word/media/image3.wmf" ContentType="image/x-wmf"/>
  <Override PartName="/word/media/image4.wmf" ContentType="image/x-wmf"/>
  <Override PartName="/word/media/image5.wmf" ContentType="image/x-wmf"/>
  <Override PartName="/word/footnotes.xml" ContentType="application/vnd.openxmlformats-officedocument.wordprocessingml.footnotes+xml"/>
  <Override PartName="/word/header4.xml" ContentType="application/vnd.openxmlformats-officedocument.wordprocessingml.header+xml"/>
  <Override PartName="/word/footer12.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header7.xml" ContentType="application/vnd.openxmlformats-officedocument.wordprocessingml.header+xml"/>
  <Override PartName="/word/header10.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footer13.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footer6.xml" ContentType="application/vnd.openxmlformats-officedocument.wordprocessingml.footer+xml"/>
  <Override PartName="/word/numbering.xml" ContentType="application/vnd.openxmlformats-officedocument.wordprocessingml.numbering+xml"/>
  <Override PartName="/word/footer7.xml" ContentType="application/vnd.openxmlformats-officedocument.wordprocessingml.footer+xml"/>
  <Override PartName="/word/header8.xml" ContentType="application/vnd.openxmlformats-officedocument.wordprocessingml.header+xml"/>
  <Override PartName="/word/header11.xml" ContentType="application/vnd.openxmlformats-officedocument.wordprocessingml.head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spacing w:before="120" w:after="0"/>
        <w:ind w:left="4536" w:hanging="0"/>
        <w:rPr/>
      </w:pPr>
      <w:r>
        <w:rPr/>
        <w:t xml:space="preserve">                    </w:t>
      </w:r>
      <w:r>
        <w:rPr/>
        <w:t>«УТВЕРЖДАЮ»</w:t>
      </w:r>
    </w:p>
    <w:p>
      <w:pPr>
        <w:pStyle w:val="Style32"/>
        <w:keepNext w:val="true"/>
        <w:ind w:left="4536" w:hanging="0"/>
        <w:rPr/>
      </w:pPr>
      <w:r>
        <w:rPr/>
        <w:t>Председатель закупочной комиссии 1-го уровня – Заместитель генерального директора по управлению ресурсами АО «ДГК»</w:t>
      </w:r>
    </w:p>
    <w:p>
      <w:pPr>
        <w:pStyle w:val="Style32"/>
        <w:keepNext w:val="true"/>
        <w:ind w:left="4536" w:hanging="0"/>
        <w:rPr/>
      </w:pPr>
      <w:r>
        <w:rPr/>
        <w:t>__________________Д.А. Богонатов</w:t>
      </w:r>
    </w:p>
    <w:p>
      <w:pPr>
        <w:pStyle w:val="Style32"/>
        <w:keepNext w:val="true"/>
        <w:ind w:left="4536" w:hanging="0"/>
        <w:rPr/>
      </w:pPr>
      <w:r>
        <w:rPr/>
        <w:t>«___» _______________ 2026г</w:t>
      </w:r>
    </w:p>
    <w:p>
      <w:pPr>
        <w:pStyle w:val="Style32"/>
        <w:keepNext w:val="true"/>
        <w:ind w:left="4536" w:hanging="0"/>
        <w:rPr/>
      </w:pPr>
      <w:r>
        <w:rPr/>
      </w:r>
    </w:p>
    <w:p>
      <w:pPr>
        <w:pStyle w:val="Style32"/>
        <w:rPr/>
      </w:pPr>
      <w:r>
        <w:rPr/>
      </w:r>
    </w:p>
    <w:p>
      <w:pPr>
        <w:pStyle w:val="Style32"/>
        <w:rPr/>
      </w:pPr>
      <w:r>
        <w:rPr/>
      </w:r>
    </w:p>
    <w:p>
      <w:pPr>
        <w:pStyle w:val="Style32"/>
        <w:rPr/>
      </w:pPr>
      <w:r>
        <w:rPr/>
      </w:r>
    </w:p>
    <w:p>
      <w:pPr>
        <w:pStyle w:val="Style32"/>
        <w:rPr/>
      </w:pPr>
      <w:r>
        <w:rPr/>
      </w:r>
    </w:p>
    <w:p>
      <w:pPr>
        <w:pStyle w:val="Style32"/>
        <w:rPr/>
      </w:pPr>
      <w:r>
        <w:rPr/>
      </w:r>
    </w:p>
    <w:p>
      <w:pPr>
        <w:pStyle w:val="Style32"/>
        <w:keepNext w:val="true"/>
        <w:numPr>
          <w:ilvl w:val="0"/>
          <w:numId w:val="0"/>
        </w:numPr>
        <w:ind w:left="0" w:hanging="0"/>
        <w:jc w:val="center"/>
        <w:outlineLvl w:val="2"/>
        <w:rPr>
          <w:b/>
          <w:bCs/>
          <w:caps/>
        </w:rPr>
      </w:pPr>
      <w:r>
        <w:rPr>
          <w:b/>
          <w:bCs/>
          <w:caps/>
        </w:rPr>
        <w:t>Документация о закупке</w:t>
      </w:r>
    </w:p>
    <w:p>
      <w:pPr>
        <w:pStyle w:val="Style32"/>
        <w:keepNext w:val="true"/>
        <w:spacing w:before="240" w:after="0"/>
        <w:jc w:val="center"/>
        <w:rPr>
          <w:rStyle w:val="Style8"/>
        </w:rPr>
      </w:pPr>
      <w:r>
        <w:rPr/>
        <w:t>Запрос предложений в электронной форме,</w:t>
        <w:br/>
        <w:t>участниками которого могут быть только субъекты МСП,</w:t>
        <w:br/>
        <w:t>на право заключения договора на «ОКПД2 42.11.10 Выполнение работ по восстановлению благоустройства территории при выполнении работ по текущему ремонту участка теплотрассы, г.Николаевск-на-Амуре для нужд структурного подразделения Николаевской ТЭЦ, АО «ДГК»»</w:t>
      </w:r>
    </w:p>
    <w:p>
      <w:pPr>
        <w:sectPr>
          <w:type w:val="nextPage"/>
          <w:pgSz w:w="11906" w:h="16838"/>
          <w:pgMar w:left="1134" w:right="850" w:gutter="0" w:header="0" w:top="851" w:footer="0" w:bottom="851"/>
          <w:pgNumType w:fmt="decimal"/>
          <w:formProt w:val="false"/>
          <w:textDirection w:val="lrTb"/>
          <w:docGrid w:type="default" w:linePitch="360" w:charSpace="0"/>
        </w:sectPr>
        <w:pStyle w:val="Style32"/>
        <w:keepNext w:val="true"/>
        <w:spacing w:before="240" w:after="0"/>
        <w:jc w:val="center"/>
        <w:rPr>
          <w:rStyle w:val="Style8"/>
        </w:rPr>
      </w:pPr>
      <w:r>
        <w:rPr/>
        <w:t>(Лот № 11028010-РЕМ ПРОД-2026-ДГК-НТЭЦ)</w:t>
      </w:r>
    </w:p>
    <w:p>
      <w:pPr>
        <w:pStyle w:val="Style31"/>
        <w:numPr>
          <w:ilvl w:val="0"/>
          <w:numId w:val="0"/>
        </w:numPr>
        <w:ind w:left="0" w:hanging="0"/>
        <w:outlineLvl w:val="2"/>
        <w:rPr/>
      </w:pPr>
      <w:r>
        <w:rPr/>
        <w:t>Содержание</w:t>
      </w:r>
    </w:p>
    <w:sdt>
      <w:sdtPr>
        <w:docPartObj>
          <w:docPartGallery w:val="Table of Contents"/>
          <w:docPartUnique w:val="true"/>
        </w:docPartObj>
      </w:sdtPr>
      <w:sdtContent>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r>
            <w:fldChar w:fldCharType="begin"/>
          </w:r>
          <w:r>
            <w:rPr>
              <w:webHidden/>
              <w:rStyle w:val="Style17"/>
              <w:vanish w:val="false"/>
            </w:rPr>
            <w:instrText xml:space="preserve"> TOC \z \u \t "[РГ] Перечисление,5,[РГ] Подпункт,4,[РГ] Пункт,3,[РГ] Подраздел,2,[РГ] Раздел,1,[РГ] Раздел,1,[РГ] Раздел,1,[РГ] Подраздел,2,[РГ] Подраздел,2,[РГ] Пункт,3,[РГ] Подпункт,4,[РГ] Перечисление,5" \h</w:instrText>
          </w:r>
          <w:r>
            <w:rPr>
              <w:webHidden/>
              <w:rStyle w:val="Style17"/>
              <w:vanish w:val="false"/>
            </w:rPr>
            <w:fldChar w:fldCharType="separate"/>
          </w:r>
          <w:hyperlink w:anchor="_Toc228877668">
            <w:r>
              <w:rPr>
                <w:webHidden/>
              </w:rPr>
              <w:fldChar w:fldCharType="begin"/>
            </w:r>
            <w:r>
              <w:rPr>
                <w:webHidden/>
              </w:rPr>
              <w:instrText xml:space="preserve">PAGEREF _Toc228877668 \h</w:instrText>
            </w:r>
            <w:r>
              <w:rPr>
                <w:webHidden/>
              </w:rPr>
              <w:fldChar w:fldCharType="separate"/>
            </w:r>
            <w:r>
              <w:rPr>
                <w:webHidden/>
                <w:rStyle w:val="Style17"/>
                <w:vanish w:val="false"/>
              </w:rPr>
              <w:t>Сокращения</w:t>
              <w:tab/>
              <w:t>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669">
            <w:r>
              <w:rPr>
                <w:webHidden/>
              </w:rPr>
              <w:fldChar w:fldCharType="begin"/>
            </w:r>
            <w:r>
              <w:rPr>
                <w:webHidden/>
              </w:rPr>
              <w:instrText xml:space="preserve">PAGEREF _Toc228877669 \h</w:instrText>
            </w:r>
            <w:r>
              <w:rPr>
                <w:webHidden/>
              </w:rPr>
              <w:fldChar w:fldCharType="separate"/>
            </w:r>
            <w:r>
              <w:rPr>
                <w:webHidden/>
                <w:rStyle w:val="Style17"/>
                <w:vanish w:val="false"/>
              </w:rPr>
              <w:t>Термины и определения</w:t>
              <w:tab/>
              <w:t>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670">
            <w:r>
              <w:rPr>
                <w:webHidden/>
                <w:rStyle w:val="Style17"/>
                <w:vanish w:val="false"/>
              </w:rPr>
              <w:t>1.</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Основные сведения о закупке</w:t>
            </w:r>
            <w:r>
              <w:rPr>
                <w:webHidden/>
              </w:rPr>
              <w:fldChar w:fldCharType="begin"/>
            </w:r>
            <w:r>
              <w:rPr>
                <w:webHidden/>
              </w:rPr>
              <w:instrText xml:space="preserve">PAGEREF _Toc228877670 \h</w:instrText>
            </w:r>
            <w:r>
              <w:rPr>
                <w:webHidden/>
              </w:rPr>
              <w:fldChar w:fldCharType="separate"/>
            </w:r>
            <w:r>
              <w:rPr>
                <w:rStyle w:val="Style17"/>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71">
            <w:r>
              <w:rPr>
                <w:webHidden/>
                <w:rStyle w:val="Style17"/>
                <w:vanish w:val="false"/>
              </w:rPr>
              <w:t>1.1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Статус настоящего раздела</w:t>
            </w:r>
            <w:r>
              <w:rPr>
                <w:webHidden/>
              </w:rPr>
              <w:fldChar w:fldCharType="begin"/>
            </w:r>
            <w:r>
              <w:rPr>
                <w:webHidden/>
              </w:rPr>
              <w:instrText xml:space="preserve">PAGEREF _Toc228877671 \h</w:instrText>
            </w:r>
            <w:r>
              <w:rPr>
                <w:webHidden/>
              </w:rPr>
              <w:fldChar w:fldCharType="separate"/>
            </w:r>
            <w:r>
              <w:rPr>
                <w:rStyle w:val="Style17"/>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72">
            <w:r>
              <w:rPr>
                <w:webHidden/>
                <w:rStyle w:val="Style17"/>
                <w:vanish w:val="false"/>
              </w:rPr>
              <w:t>1.2</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Информация о проводимой закупке</w:t>
            </w:r>
            <w:r>
              <w:rPr>
                <w:webHidden/>
              </w:rPr>
              <w:fldChar w:fldCharType="begin"/>
            </w:r>
            <w:r>
              <w:rPr>
                <w:webHidden/>
              </w:rPr>
              <w:instrText xml:space="preserve">PAGEREF _Toc228877672 \h</w:instrText>
            </w:r>
            <w:r>
              <w:rPr>
                <w:webHidden/>
              </w:rPr>
              <w:fldChar w:fldCharType="separate"/>
            </w:r>
            <w:r>
              <w:rPr>
                <w:rStyle w:val="Style17"/>
                <w:vanish w:val="false"/>
              </w:rPr>
              <w:tab/>
              <w:t>12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673">
            <w:r>
              <w:rPr>
                <w:webHidden/>
                <w:rStyle w:val="Style17"/>
                <w:vanish w:val="false"/>
              </w:rPr>
              <w:t>2.</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Общие положения</w:t>
            </w:r>
            <w:r>
              <w:rPr>
                <w:webHidden/>
              </w:rPr>
              <w:fldChar w:fldCharType="begin"/>
            </w:r>
            <w:r>
              <w:rPr>
                <w:webHidden/>
              </w:rPr>
              <w:instrText xml:space="preserve">PAGEREF _Toc228877673 \h</w:instrText>
            </w:r>
            <w:r>
              <w:rPr>
                <w:webHidden/>
              </w:rPr>
              <w:fldChar w:fldCharType="separate"/>
            </w:r>
            <w:r>
              <w:rPr>
                <w:rStyle w:val="Style17"/>
                <w:vanish w:val="false"/>
              </w:rPr>
              <w:tab/>
              <w:t>24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74">
            <w:r>
              <w:rPr>
                <w:webHidden/>
                <w:rStyle w:val="Style17"/>
                <w:vanish w:val="false"/>
              </w:rPr>
              <w:t>2.1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Общие сведения о закупке</w:t>
            </w:r>
            <w:r>
              <w:rPr>
                <w:webHidden/>
              </w:rPr>
              <w:fldChar w:fldCharType="begin"/>
            </w:r>
            <w:r>
              <w:rPr>
                <w:webHidden/>
              </w:rPr>
              <w:instrText xml:space="preserve">PAGEREF _Toc228877674 \h</w:instrText>
            </w:r>
            <w:r>
              <w:rPr>
                <w:webHidden/>
              </w:rPr>
              <w:fldChar w:fldCharType="separate"/>
            </w:r>
            <w:r>
              <w:rPr>
                <w:rStyle w:val="Style17"/>
                <w:vanish w:val="false"/>
              </w:rPr>
              <w:tab/>
              <w:t>24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75">
            <w:r>
              <w:rPr>
                <w:webHidden/>
                <w:rStyle w:val="Style17"/>
                <w:vanish w:val="false"/>
              </w:rPr>
              <w:t>2.2</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Правовой статус документов</w:t>
            </w:r>
            <w:r>
              <w:rPr>
                <w:webHidden/>
              </w:rPr>
              <w:fldChar w:fldCharType="begin"/>
            </w:r>
            <w:r>
              <w:rPr>
                <w:webHidden/>
              </w:rPr>
              <w:instrText xml:space="preserve">PAGEREF _Toc228877675 \h</w:instrText>
            </w:r>
            <w:r>
              <w:rPr>
                <w:webHidden/>
              </w:rPr>
              <w:fldChar w:fldCharType="separate"/>
            </w:r>
            <w:r>
              <w:rPr>
                <w:rStyle w:val="Style17"/>
                <w:vanish w:val="false"/>
              </w:rPr>
              <w:tab/>
              <w:t>24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76">
            <w:r>
              <w:rPr>
                <w:webHidden/>
                <w:rStyle w:val="Style17"/>
                <w:vanish w:val="false"/>
              </w:rPr>
              <w:t>2.3</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Обжалование</w:t>
            </w:r>
            <w:r>
              <w:rPr>
                <w:webHidden/>
              </w:rPr>
              <w:fldChar w:fldCharType="begin"/>
            </w:r>
            <w:r>
              <w:rPr>
                <w:webHidden/>
              </w:rPr>
              <w:instrText xml:space="preserve">PAGEREF _Toc228877676 \h</w:instrText>
            </w:r>
            <w:r>
              <w:rPr>
                <w:webHidden/>
              </w:rPr>
              <w:fldChar w:fldCharType="separate"/>
            </w:r>
            <w:r>
              <w:rPr>
                <w:rStyle w:val="Style17"/>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77">
            <w:r>
              <w:rPr>
                <w:webHidden/>
                <w:rStyle w:val="Style17"/>
                <w:vanish w:val="false"/>
              </w:rPr>
              <w:t>2.4</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Особые положения при проведении закупки с использованием ЭП</w:t>
            </w:r>
            <w:r>
              <w:rPr>
                <w:webHidden/>
              </w:rPr>
              <w:fldChar w:fldCharType="begin"/>
            </w:r>
            <w:r>
              <w:rPr>
                <w:webHidden/>
              </w:rPr>
              <w:instrText xml:space="preserve">PAGEREF _Toc228877677 \h</w:instrText>
            </w:r>
            <w:r>
              <w:rPr>
                <w:webHidden/>
              </w:rPr>
              <w:fldChar w:fldCharType="separate"/>
            </w:r>
            <w:r>
              <w:rPr>
                <w:rStyle w:val="Style17"/>
                <w:vanish w:val="false"/>
              </w:rPr>
              <w:tab/>
              <w:t>26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78">
            <w:r>
              <w:rPr>
                <w:webHidden/>
                <w:rStyle w:val="Style17"/>
                <w:vanish w:val="false"/>
              </w:rPr>
              <w:t>2.5</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Прочие положения</w:t>
            </w:r>
            <w:r>
              <w:rPr>
                <w:webHidden/>
              </w:rPr>
              <w:fldChar w:fldCharType="begin"/>
            </w:r>
            <w:r>
              <w:rPr>
                <w:webHidden/>
              </w:rPr>
              <w:instrText xml:space="preserve">PAGEREF _Toc228877678 \h</w:instrText>
            </w:r>
            <w:r>
              <w:rPr>
                <w:webHidden/>
              </w:rPr>
              <w:fldChar w:fldCharType="separate"/>
            </w:r>
            <w:r>
              <w:rPr>
                <w:rStyle w:val="Style17"/>
                <w:vanish w:val="false"/>
              </w:rPr>
              <w:tab/>
              <w:t>26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679">
            <w:r>
              <w:rPr>
                <w:webHidden/>
                <w:rStyle w:val="Style17"/>
                <w:vanish w:val="false"/>
              </w:rPr>
              <w:t>3.</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Требования к Участникам</w:t>
            </w:r>
            <w:r>
              <w:rPr>
                <w:webHidden/>
              </w:rPr>
              <w:fldChar w:fldCharType="begin"/>
            </w:r>
            <w:r>
              <w:rPr>
                <w:webHidden/>
              </w:rPr>
              <w:instrText xml:space="preserve">PAGEREF _Toc228877679 \h</w:instrText>
            </w:r>
            <w:r>
              <w:rPr>
                <w:webHidden/>
              </w:rPr>
              <w:fldChar w:fldCharType="separate"/>
            </w:r>
            <w:r>
              <w:rPr>
                <w:rStyle w:val="Style17"/>
                <w:vanish w:val="false"/>
              </w:rPr>
              <w:tab/>
              <w:t>28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80">
            <w:r>
              <w:rPr>
                <w:webHidden/>
                <w:rStyle w:val="Style17"/>
                <w:vanish w:val="false"/>
              </w:rPr>
              <w:t>3.1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Общие требования к Участникам</w:t>
            </w:r>
            <w:r>
              <w:rPr>
                <w:webHidden/>
              </w:rPr>
              <w:fldChar w:fldCharType="begin"/>
            </w:r>
            <w:r>
              <w:rPr>
                <w:webHidden/>
              </w:rPr>
              <w:instrText xml:space="preserve">PAGEREF _Toc228877680 \h</w:instrText>
            </w:r>
            <w:r>
              <w:rPr>
                <w:webHidden/>
              </w:rPr>
              <w:fldChar w:fldCharType="separate"/>
            </w:r>
            <w:r>
              <w:rPr>
                <w:rStyle w:val="Style17"/>
                <w:vanish w:val="false"/>
              </w:rPr>
              <w:tab/>
              <w:t>28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81">
            <w:r>
              <w:rPr>
                <w:webHidden/>
                <w:rStyle w:val="Style17"/>
                <w:vanish w:val="false"/>
              </w:rPr>
              <w:t>3.2</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Генеральные подрядчики</w:t>
            </w:r>
            <w:r>
              <w:rPr>
                <w:webHidden/>
              </w:rPr>
              <w:fldChar w:fldCharType="begin"/>
            </w:r>
            <w:r>
              <w:rPr>
                <w:webHidden/>
              </w:rPr>
              <w:instrText xml:space="preserve">PAGEREF _Toc228877681 \h</w:instrText>
            </w:r>
            <w:r>
              <w:rPr>
                <w:webHidden/>
              </w:rPr>
              <w:fldChar w:fldCharType="separate"/>
            </w:r>
            <w:r>
              <w:rPr>
                <w:rStyle w:val="Style17"/>
                <w:vanish w:val="false"/>
              </w:rPr>
              <w:tab/>
              <w:t>28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682">
            <w:r>
              <w:rPr>
                <w:webHidden/>
                <w:rStyle w:val="Style17"/>
                <w:vanish w:val="false"/>
              </w:rPr>
              <w:t>4.</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Порядок проведения закупки</w:t>
            </w:r>
            <w:r>
              <w:rPr>
                <w:webHidden/>
              </w:rPr>
              <w:fldChar w:fldCharType="begin"/>
            </w:r>
            <w:r>
              <w:rPr>
                <w:webHidden/>
              </w:rPr>
              <w:instrText xml:space="preserve">PAGEREF _Toc228877682 \h</w:instrText>
            </w:r>
            <w:r>
              <w:rPr>
                <w:webHidden/>
              </w:rPr>
              <w:fldChar w:fldCharType="separate"/>
            </w:r>
            <w:r>
              <w:rPr>
                <w:rStyle w:val="Style17"/>
                <w:vanish w:val="false"/>
              </w:rPr>
              <w:tab/>
              <w:t>30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83">
            <w:r>
              <w:rPr>
                <w:webHidden/>
                <w:rStyle w:val="Style17"/>
                <w:vanish w:val="false"/>
              </w:rPr>
              <w:t>4.1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Общий порядок проведения закупки</w:t>
            </w:r>
            <w:r>
              <w:rPr>
                <w:webHidden/>
              </w:rPr>
              <w:fldChar w:fldCharType="begin"/>
            </w:r>
            <w:r>
              <w:rPr>
                <w:webHidden/>
              </w:rPr>
              <w:instrText xml:space="preserve">PAGEREF _Toc228877683 \h</w:instrText>
            </w:r>
            <w:r>
              <w:rPr>
                <w:webHidden/>
              </w:rPr>
              <w:fldChar w:fldCharType="separate"/>
            </w:r>
            <w:r>
              <w:rPr>
                <w:rStyle w:val="Style17"/>
                <w:vanish w:val="false"/>
              </w:rPr>
              <w:tab/>
              <w:t>30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84">
            <w:r>
              <w:rPr>
                <w:webHidden/>
                <w:rStyle w:val="Style17"/>
                <w:vanish w:val="false"/>
              </w:rPr>
              <w:t>4.2</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Официальное размещение Извещения и Документации о закупке</w:t>
            </w:r>
            <w:r>
              <w:rPr>
                <w:webHidden/>
              </w:rPr>
              <w:fldChar w:fldCharType="begin"/>
            </w:r>
            <w:r>
              <w:rPr>
                <w:webHidden/>
              </w:rPr>
              <w:instrText xml:space="preserve">PAGEREF _Toc228877684 \h</w:instrText>
            </w:r>
            <w:r>
              <w:rPr>
                <w:webHidden/>
              </w:rPr>
              <w:fldChar w:fldCharType="separate"/>
            </w:r>
            <w:r>
              <w:rPr>
                <w:rStyle w:val="Style17"/>
                <w:vanish w:val="false"/>
              </w:rPr>
              <w:tab/>
              <w:t>32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85">
            <w:r>
              <w:rPr>
                <w:webHidden/>
                <w:rStyle w:val="Style17"/>
                <w:vanish w:val="false"/>
              </w:rPr>
              <w:t>4.3</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Подготовка заявки</w:t>
            </w:r>
            <w:r>
              <w:rPr>
                <w:webHidden/>
              </w:rPr>
              <w:fldChar w:fldCharType="begin"/>
            </w:r>
            <w:r>
              <w:rPr>
                <w:webHidden/>
              </w:rPr>
              <w:instrText xml:space="preserve">PAGEREF _Toc228877685 \h</w:instrText>
            </w:r>
            <w:r>
              <w:rPr>
                <w:webHidden/>
              </w:rPr>
              <w:fldChar w:fldCharType="separate"/>
            </w:r>
            <w:r>
              <w:rPr>
                <w:rStyle w:val="Style17"/>
                <w:vanish w:val="false"/>
              </w:rPr>
              <w:tab/>
              <w:t>32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86">
            <w:r>
              <w:rPr>
                <w:webHidden/>
                <w:rStyle w:val="Style17"/>
                <w:vanish w:val="false"/>
              </w:rPr>
              <w:t>4.4</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Разъяснение Документации о закупке</w:t>
            </w:r>
            <w:r>
              <w:rPr>
                <w:webHidden/>
              </w:rPr>
              <w:fldChar w:fldCharType="begin"/>
            </w:r>
            <w:r>
              <w:rPr>
                <w:webHidden/>
              </w:rPr>
              <w:instrText xml:space="preserve">PAGEREF _Toc228877686 \h</w:instrText>
            </w:r>
            <w:r>
              <w:rPr>
                <w:webHidden/>
              </w:rPr>
              <w:fldChar w:fldCharType="separate"/>
            </w:r>
            <w:r>
              <w:rPr>
                <w:rStyle w:val="Style17"/>
                <w:vanish w:val="false"/>
              </w:rPr>
              <w:tab/>
              <w:t>36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87">
            <w:r>
              <w:rPr>
                <w:webHidden/>
                <w:rStyle w:val="Style17"/>
                <w:vanish w:val="false"/>
              </w:rPr>
              <w:t>4.5</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Изменения Извещения и (или) Документации о закупке</w:t>
            </w:r>
            <w:r>
              <w:rPr>
                <w:webHidden/>
              </w:rPr>
              <w:fldChar w:fldCharType="begin"/>
            </w:r>
            <w:r>
              <w:rPr>
                <w:webHidden/>
              </w:rPr>
              <w:instrText xml:space="preserve">PAGEREF _Toc228877687 \h</w:instrText>
            </w:r>
            <w:r>
              <w:rPr>
                <w:webHidden/>
              </w:rPr>
              <w:fldChar w:fldCharType="separate"/>
            </w:r>
            <w:r>
              <w:rPr>
                <w:rStyle w:val="Style17"/>
                <w:vanish w:val="false"/>
              </w:rPr>
              <w:tab/>
              <w:t>36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88">
            <w:r>
              <w:rPr>
                <w:webHidden/>
                <w:rStyle w:val="Style17"/>
                <w:vanish w:val="false"/>
              </w:rPr>
              <w:t>4.6</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Подача заявок и их прием</w:t>
            </w:r>
            <w:r>
              <w:rPr>
                <w:webHidden/>
              </w:rPr>
              <w:fldChar w:fldCharType="begin"/>
            </w:r>
            <w:r>
              <w:rPr>
                <w:webHidden/>
              </w:rPr>
              <w:instrText xml:space="preserve">PAGEREF _Toc228877688 \h</w:instrText>
            </w:r>
            <w:r>
              <w:rPr>
                <w:webHidden/>
              </w:rPr>
              <w:fldChar w:fldCharType="separate"/>
            </w:r>
            <w:r>
              <w:rPr>
                <w:rStyle w:val="Style17"/>
                <w:vanish w:val="false"/>
              </w:rPr>
              <w:tab/>
              <w:t>37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89">
            <w:r>
              <w:rPr>
                <w:webHidden/>
                <w:rStyle w:val="Style17"/>
                <w:vanish w:val="false"/>
              </w:rPr>
              <w:t>4.7</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Изменение и отзыв заявок</w:t>
            </w:r>
            <w:r>
              <w:rPr>
                <w:webHidden/>
              </w:rPr>
              <w:fldChar w:fldCharType="begin"/>
            </w:r>
            <w:r>
              <w:rPr>
                <w:webHidden/>
              </w:rPr>
              <w:instrText xml:space="preserve">PAGEREF _Toc228877689 \h</w:instrText>
            </w:r>
            <w:r>
              <w:rPr>
                <w:webHidden/>
              </w:rPr>
              <w:fldChar w:fldCharType="separate"/>
            </w:r>
            <w:r>
              <w:rPr>
                <w:rStyle w:val="Style17"/>
                <w:vanish w:val="false"/>
              </w:rPr>
              <w:tab/>
              <w:t>38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90">
            <w:r>
              <w:rPr>
                <w:webHidden/>
                <w:rStyle w:val="Style17"/>
                <w:vanish w:val="false"/>
              </w:rPr>
              <w:t>4.8</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Открытие доступа к первым частям заявок</w:t>
            </w:r>
            <w:r>
              <w:rPr>
                <w:webHidden/>
              </w:rPr>
              <w:fldChar w:fldCharType="begin"/>
            </w:r>
            <w:r>
              <w:rPr>
                <w:webHidden/>
              </w:rPr>
              <w:instrText xml:space="preserve">PAGEREF _Toc228877690 \h</w:instrText>
            </w:r>
            <w:r>
              <w:rPr>
                <w:webHidden/>
              </w:rPr>
              <w:fldChar w:fldCharType="separate"/>
            </w:r>
            <w:r>
              <w:rPr>
                <w:rStyle w:val="Style17"/>
                <w:vanish w:val="false"/>
              </w:rPr>
              <w:tab/>
              <w:t>38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91">
            <w:r>
              <w:rPr>
                <w:webHidden/>
                <w:rStyle w:val="Style17"/>
                <w:vanish w:val="false"/>
              </w:rPr>
              <w:t>4.9</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Рассмотрение первых частей заявок (отборочная стадия)</w:t>
            </w:r>
            <w:r>
              <w:rPr>
                <w:webHidden/>
              </w:rPr>
              <w:fldChar w:fldCharType="begin"/>
            </w:r>
            <w:r>
              <w:rPr>
                <w:webHidden/>
              </w:rPr>
              <w:instrText xml:space="preserve">PAGEREF _Toc228877691 \h</w:instrText>
            </w:r>
            <w:r>
              <w:rPr>
                <w:webHidden/>
              </w:rPr>
              <w:fldChar w:fldCharType="separate"/>
            </w:r>
            <w:r>
              <w:rPr>
                <w:rStyle w:val="Style17"/>
                <w:vanish w:val="false"/>
              </w:rPr>
              <w:tab/>
              <w:t>38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92">
            <w:r>
              <w:rPr>
                <w:webHidden/>
                <w:rStyle w:val="Style17"/>
                <w:vanish w:val="false"/>
              </w:rPr>
              <w:t>4.10</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Открытие доступа ко вторым частям заявок и ценовым предложениям</w:t>
            </w:r>
            <w:r>
              <w:rPr>
                <w:webHidden/>
              </w:rPr>
              <w:fldChar w:fldCharType="begin"/>
            </w:r>
            <w:r>
              <w:rPr>
                <w:webHidden/>
              </w:rPr>
              <w:instrText xml:space="preserve">PAGEREF _Toc228877692 \h</w:instrText>
            </w:r>
            <w:r>
              <w:rPr>
                <w:webHidden/>
              </w:rPr>
              <w:fldChar w:fldCharType="separate"/>
            </w:r>
            <w:r>
              <w:rPr>
                <w:rStyle w:val="Style17"/>
                <w:vanish w:val="false"/>
              </w:rPr>
              <w:tab/>
              <w:t>39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93">
            <w:r>
              <w:rPr>
                <w:webHidden/>
                <w:rStyle w:val="Style17"/>
                <w:vanish w:val="false"/>
              </w:rPr>
              <w:t>4.11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Рассмотрение вторых частей заявок (отборочная стадия), в том числе (при необходимости) проведение аккредитации, и ценовых предложений</w:t>
            </w:r>
            <w:r>
              <w:rPr>
                <w:webHidden/>
              </w:rPr>
              <w:fldChar w:fldCharType="begin"/>
            </w:r>
            <w:r>
              <w:rPr>
                <w:webHidden/>
              </w:rPr>
              <w:instrText xml:space="preserve">PAGEREF _Toc228877693 \h</w:instrText>
            </w:r>
            <w:r>
              <w:rPr>
                <w:webHidden/>
              </w:rPr>
              <w:fldChar w:fldCharType="separate"/>
            </w:r>
            <w:r>
              <w:rPr>
                <w:rStyle w:val="Style17"/>
                <w:vanish w:val="false"/>
              </w:rPr>
              <w:tab/>
              <w:t>40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94">
            <w:r>
              <w:rPr>
                <w:webHidden/>
                <w:rStyle w:val="Style17"/>
                <w:vanish w:val="false"/>
              </w:rPr>
              <w:t>4.12</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Дополнительные запросы разъяснений заявок</w:t>
            </w:r>
            <w:r>
              <w:rPr>
                <w:webHidden/>
              </w:rPr>
              <w:fldChar w:fldCharType="begin"/>
            </w:r>
            <w:r>
              <w:rPr>
                <w:webHidden/>
              </w:rPr>
              <w:instrText xml:space="preserve">PAGEREF _Toc228877694 \h</w:instrText>
            </w:r>
            <w:r>
              <w:rPr>
                <w:webHidden/>
              </w:rPr>
              <w:fldChar w:fldCharType="separate"/>
            </w:r>
            <w:r>
              <w:rPr>
                <w:rStyle w:val="Style17"/>
                <w:vanish w:val="false"/>
              </w:rPr>
              <w:tab/>
              <w:t>41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95">
            <w:r>
              <w:rPr>
                <w:webHidden/>
                <w:rStyle w:val="Style17"/>
                <w:vanish w:val="false"/>
              </w:rPr>
              <w:t>4.13</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Оценка и сопоставление заявок</w:t>
            </w:r>
            <w:r>
              <w:rPr>
                <w:webHidden/>
              </w:rPr>
              <w:fldChar w:fldCharType="begin"/>
            </w:r>
            <w:r>
              <w:rPr>
                <w:webHidden/>
              </w:rPr>
              <w:instrText xml:space="preserve">PAGEREF _Toc228877695 \h</w:instrText>
            </w:r>
            <w:r>
              <w:rPr>
                <w:webHidden/>
              </w:rPr>
              <w:fldChar w:fldCharType="separate"/>
            </w:r>
            <w:r>
              <w:rPr>
                <w:rStyle w:val="Style17"/>
                <w:vanish w:val="false"/>
              </w:rPr>
              <w:tab/>
              <w:t>43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96">
            <w:r>
              <w:rPr>
                <w:webHidden/>
                <w:rStyle w:val="Style17"/>
                <w:vanish w:val="false"/>
              </w:rPr>
              <w:t>4.14</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Применение законодательства о национальном режиме</w:t>
            </w:r>
            <w:r>
              <w:rPr>
                <w:webHidden/>
              </w:rPr>
              <w:fldChar w:fldCharType="begin"/>
            </w:r>
            <w:r>
              <w:rPr>
                <w:webHidden/>
              </w:rPr>
              <w:instrText xml:space="preserve">PAGEREF _Toc228877696 \h</w:instrText>
            </w:r>
            <w:r>
              <w:rPr>
                <w:webHidden/>
              </w:rPr>
              <w:fldChar w:fldCharType="separate"/>
            </w:r>
            <w:r>
              <w:rPr>
                <w:rStyle w:val="Style17"/>
                <w:vanish w:val="false"/>
              </w:rPr>
              <w:tab/>
              <w:t>44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97">
            <w:r>
              <w:rPr>
                <w:webHidden/>
                <w:rStyle w:val="Style17"/>
                <w:vanish w:val="false"/>
              </w:rPr>
              <w:t>4.15</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Преференции в части использования российского алюминия</w:t>
            </w:r>
            <w:r>
              <w:rPr>
                <w:webHidden/>
              </w:rPr>
              <w:fldChar w:fldCharType="begin"/>
            </w:r>
            <w:r>
              <w:rPr>
                <w:webHidden/>
              </w:rPr>
              <w:instrText xml:space="preserve">PAGEREF _Toc228877697 \h</w:instrText>
            </w:r>
            <w:r>
              <w:rPr>
                <w:webHidden/>
              </w:rPr>
              <w:fldChar w:fldCharType="separate"/>
            </w:r>
            <w:r>
              <w:rPr>
                <w:rStyle w:val="Style17"/>
                <w:vanish w:val="false"/>
              </w:rPr>
              <w:tab/>
              <w:t>46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98">
            <w:r>
              <w:rPr>
                <w:webHidden/>
                <w:rStyle w:val="Style17"/>
                <w:vanish w:val="false"/>
              </w:rPr>
              <w:t>4.16</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Подведение итогов закупки (определение Победителя)</w:t>
            </w:r>
            <w:r>
              <w:rPr>
                <w:webHidden/>
              </w:rPr>
              <w:fldChar w:fldCharType="begin"/>
            </w:r>
            <w:r>
              <w:rPr>
                <w:webHidden/>
              </w:rPr>
              <w:instrText xml:space="preserve">PAGEREF _Toc228877698 \h</w:instrText>
            </w:r>
            <w:r>
              <w:rPr>
                <w:webHidden/>
              </w:rPr>
              <w:fldChar w:fldCharType="separate"/>
            </w:r>
            <w:r>
              <w:rPr>
                <w:rStyle w:val="Style17"/>
                <w:vanish w:val="false"/>
              </w:rPr>
              <w:tab/>
              <w:t>46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699">
            <w:r>
              <w:rPr>
                <w:webHidden/>
                <w:rStyle w:val="Style17"/>
                <w:vanish w:val="false"/>
              </w:rPr>
              <w:t>4.17</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Признание закупки несостоявшейся</w:t>
            </w:r>
            <w:r>
              <w:rPr>
                <w:webHidden/>
              </w:rPr>
              <w:fldChar w:fldCharType="begin"/>
            </w:r>
            <w:r>
              <w:rPr>
                <w:webHidden/>
              </w:rPr>
              <w:instrText xml:space="preserve">PAGEREF _Toc228877699 \h</w:instrText>
            </w:r>
            <w:r>
              <w:rPr>
                <w:webHidden/>
              </w:rPr>
              <w:fldChar w:fldCharType="separate"/>
            </w:r>
            <w:r>
              <w:rPr>
                <w:rStyle w:val="Style17"/>
                <w:vanish w:val="false"/>
              </w:rPr>
              <w:tab/>
              <w:t>48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00">
            <w:r>
              <w:rPr>
                <w:webHidden/>
                <w:rStyle w:val="Style17"/>
                <w:vanish w:val="false"/>
              </w:rPr>
              <w:t>4.18</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Отказ от проведения закупки (отмена закупки)</w:t>
            </w:r>
            <w:r>
              <w:rPr>
                <w:webHidden/>
              </w:rPr>
              <w:fldChar w:fldCharType="begin"/>
            </w:r>
            <w:r>
              <w:rPr>
                <w:webHidden/>
              </w:rPr>
              <w:instrText xml:space="preserve">PAGEREF _Toc228877700 \h</w:instrText>
            </w:r>
            <w:r>
              <w:rPr>
                <w:webHidden/>
              </w:rPr>
              <w:fldChar w:fldCharType="separate"/>
            </w:r>
            <w:r>
              <w:rPr>
                <w:rStyle w:val="Style17"/>
                <w:vanish w:val="false"/>
              </w:rPr>
              <w:tab/>
              <w:t>49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01">
            <w:r>
              <w:rPr>
                <w:webHidden/>
                <w:rStyle w:val="Style17"/>
                <w:vanish w:val="false"/>
              </w:rPr>
              <w:t>4.19</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Особенности проведения закупки с необходимостью обеспечения заявки</w:t>
            </w:r>
            <w:r>
              <w:rPr>
                <w:webHidden/>
              </w:rPr>
              <w:fldChar w:fldCharType="begin"/>
            </w:r>
            <w:r>
              <w:rPr>
                <w:webHidden/>
              </w:rPr>
              <w:instrText xml:space="preserve">PAGEREF _Toc228877701 \h</w:instrText>
            </w:r>
            <w:r>
              <w:rPr>
                <w:webHidden/>
              </w:rPr>
              <w:fldChar w:fldCharType="separate"/>
            </w:r>
            <w:r>
              <w:rPr>
                <w:rStyle w:val="Style17"/>
                <w:vanish w:val="false"/>
              </w:rPr>
              <w:tab/>
              <w:t>50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02">
            <w:r>
              <w:rPr>
                <w:webHidden/>
                <w:rStyle w:val="Style17"/>
                <w:vanish w:val="false"/>
              </w:rPr>
              <w:t>4.20</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Особенности проведения многолотовой закупки</w:t>
            </w:r>
            <w:r>
              <w:rPr>
                <w:webHidden/>
              </w:rPr>
              <w:fldChar w:fldCharType="begin"/>
            </w:r>
            <w:r>
              <w:rPr>
                <w:webHidden/>
              </w:rPr>
              <w:instrText xml:space="preserve">PAGEREF _Toc228877702 \h</w:instrText>
            </w:r>
            <w:r>
              <w:rPr>
                <w:webHidden/>
              </w:rPr>
              <w:fldChar w:fldCharType="separate"/>
            </w:r>
            <w:r>
              <w:rPr>
                <w:rStyle w:val="Style17"/>
                <w:vanish w:val="false"/>
              </w:rPr>
              <w:tab/>
              <w:t>53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03">
            <w:r>
              <w:rPr>
                <w:webHidden/>
                <w:rStyle w:val="Style17"/>
                <w:vanish w:val="false"/>
              </w:rPr>
              <w:t>4.21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Особенности проведения закупки с выбором нескольких победителей</w:t>
            </w:r>
            <w:r>
              <w:rPr>
                <w:webHidden/>
              </w:rPr>
              <w:fldChar w:fldCharType="begin"/>
            </w:r>
            <w:r>
              <w:rPr>
                <w:webHidden/>
              </w:rPr>
              <w:instrText xml:space="preserve">PAGEREF _Toc228877703 \h</w:instrText>
            </w:r>
            <w:r>
              <w:rPr>
                <w:webHidden/>
              </w:rPr>
              <w:fldChar w:fldCharType="separate"/>
            </w:r>
            <w:r>
              <w:rPr>
                <w:rStyle w:val="Style17"/>
                <w:vanish w:val="false"/>
              </w:rPr>
              <w:tab/>
              <w:t>54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04">
            <w:r>
              <w:rPr>
                <w:webHidden/>
                <w:rStyle w:val="Style17"/>
                <w:vanish w:val="false"/>
              </w:rPr>
              <w:t>5.</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Порядок заключения Договора</w:t>
            </w:r>
            <w:r>
              <w:rPr>
                <w:webHidden/>
              </w:rPr>
              <w:fldChar w:fldCharType="begin"/>
            </w:r>
            <w:r>
              <w:rPr>
                <w:webHidden/>
              </w:rPr>
              <w:instrText xml:space="preserve">PAGEREF _Toc228877704 \h</w:instrText>
            </w:r>
            <w:r>
              <w:rPr>
                <w:webHidden/>
              </w:rPr>
              <w:fldChar w:fldCharType="separate"/>
            </w:r>
            <w:r>
              <w:rPr>
                <w:rStyle w:val="Style17"/>
                <w:vanish w:val="false"/>
              </w:rPr>
              <w:tab/>
              <w:t>56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05">
            <w:r>
              <w:rPr>
                <w:webHidden/>
                <w:rStyle w:val="Style17"/>
                <w:vanish w:val="false"/>
              </w:rPr>
              <w:t>5.1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Общие положения</w:t>
            </w:r>
            <w:r>
              <w:rPr>
                <w:webHidden/>
              </w:rPr>
              <w:fldChar w:fldCharType="begin"/>
            </w:r>
            <w:r>
              <w:rPr>
                <w:webHidden/>
              </w:rPr>
              <w:instrText xml:space="preserve">PAGEREF _Toc228877705 \h</w:instrText>
            </w:r>
            <w:r>
              <w:rPr>
                <w:webHidden/>
              </w:rPr>
              <w:fldChar w:fldCharType="separate"/>
            </w:r>
            <w:r>
              <w:rPr>
                <w:rStyle w:val="Style17"/>
                <w:vanish w:val="false"/>
              </w:rPr>
              <w:tab/>
              <w:t>56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06">
            <w:r>
              <w:rPr>
                <w:webHidden/>
                <w:rStyle w:val="Style17"/>
                <w:vanish w:val="false"/>
              </w:rPr>
              <w:t>5.2</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Заключение Договора</w:t>
            </w:r>
            <w:r>
              <w:rPr>
                <w:webHidden/>
              </w:rPr>
              <w:fldChar w:fldCharType="begin"/>
            </w:r>
            <w:r>
              <w:rPr>
                <w:webHidden/>
              </w:rPr>
              <w:instrText xml:space="preserve">PAGEREF _Toc228877706 \h</w:instrText>
            </w:r>
            <w:r>
              <w:rPr>
                <w:webHidden/>
              </w:rPr>
              <w:fldChar w:fldCharType="separate"/>
            </w:r>
            <w:r>
              <w:rPr>
                <w:rStyle w:val="Style17"/>
                <w:vanish w:val="false"/>
              </w:rPr>
              <w:tab/>
              <w:t>56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07">
            <w:r>
              <w:rPr>
                <w:webHidden/>
                <w:rStyle w:val="Style17"/>
                <w:vanish w:val="false"/>
              </w:rPr>
              <w:t>5.3</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Уклонение Победителя от заключения Договора</w:t>
            </w:r>
            <w:r>
              <w:rPr>
                <w:webHidden/>
              </w:rPr>
              <w:fldChar w:fldCharType="begin"/>
            </w:r>
            <w:r>
              <w:rPr>
                <w:webHidden/>
              </w:rPr>
              <w:instrText xml:space="preserve">PAGEREF _Toc228877707 \h</w:instrText>
            </w:r>
            <w:r>
              <w:rPr>
                <w:webHidden/>
              </w:rPr>
              <w:fldChar w:fldCharType="separate"/>
            </w:r>
            <w:r>
              <w:rPr>
                <w:rStyle w:val="Style17"/>
                <w:vanish w:val="false"/>
              </w:rPr>
              <w:tab/>
              <w:t>58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08">
            <w:r>
              <w:rPr>
                <w:webHidden/>
                <w:rStyle w:val="Style17"/>
                <w:vanish w:val="false"/>
              </w:rPr>
              <w:t>6.</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Приложение № 1 – Технические требования</w:t>
            </w:r>
            <w:r>
              <w:rPr>
                <w:webHidden/>
              </w:rPr>
              <w:fldChar w:fldCharType="begin"/>
            </w:r>
            <w:r>
              <w:rPr>
                <w:webHidden/>
              </w:rPr>
              <w:instrText xml:space="preserve">PAGEREF _Toc228877708 \h</w:instrText>
            </w:r>
            <w:r>
              <w:rPr>
                <w:webHidden/>
              </w:rPr>
              <w:fldChar w:fldCharType="separate"/>
            </w:r>
            <w:r>
              <w:rPr>
                <w:rStyle w:val="Style17"/>
                <w:vanish w:val="false"/>
              </w:rPr>
              <w:tab/>
              <w:t>60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09">
            <w:r>
              <w:rPr>
                <w:webHidden/>
                <w:rStyle w:val="Style17"/>
                <w:vanish w:val="false"/>
              </w:rPr>
              <w:t>6.1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Пояснения к Техническим требованиям</w:t>
            </w:r>
            <w:r>
              <w:rPr>
                <w:webHidden/>
              </w:rPr>
              <w:fldChar w:fldCharType="begin"/>
            </w:r>
            <w:r>
              <w:rPr>
                <w:webHidden/>
              </w:rPr>
              <w:instrText xml:space="preserve">PAGEREF _Toc228877709 \h</w:instrText>
            </w:r>
            <w:r>
              <w:rPr>
                <w:webHidden/>
              </w:rPr>
              <w:fldChar w:fldCharType="separate"/>
            </w:r>
            <w:r>
              <w:rPr>
                <w:rStyle w:val="Style17"/>
                <w:vanish w:val="false"/>
              </w:rPr>
              <w:tab/>
              <w:t>60</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10">
            <w:r>
              <w:rPr>
                <w:webHidden/>
                <w:rStyle w:val="Style17"/>
                <w:vanish w:val="false"/>
              </w:rPr>
              <w:t>7.</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Приложение № 2 – Проект договора</w:t>
            </w:r>
            <w:r>
              <w:rPr>
                <w:webHidden/>
              </w:rPr>
              <w:fldChar w:fldCharType="begin"/>
            </w:r>
            <w:r>
              <w:rPr>
                <w:webHidden/>
              </w:rPr>
              <w:instrText xml:space="preserve">PAGEREF _Toc228877710 \h</w:instrText>
            </w:r>
            <w:r>
              <w:rPr>
                <w:webHidden/>
              </w:rPr>
              <w:fldChar w:fldCharType="separate"/>
            </w:r>
            <w:r>
              <w:rPr>
                <w:rStyle w:val="Style17"/>
                <w:vanish w:val="false"/>
              </w:rPr>
              <w:tab/>
              <w:t>61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11">
            <w:r>
              <w:rPr>
                <w:webHidden/>
                <w:rStyle w:val="Style17"/>
                <w:vanish w:val="false"/>
              </w:rPr>
              <w:t>7.1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Пояснения к Проекту договора</w:t>
            </w:r>
            <w:r>
              <w:rPr>
                <w:webHidden/>
              </w:rPr>
              <w:fldChar w:fldCharType="begin"/>
            </w:r>
            <w:r>
              <w:rPr>
                <w:webHidden/>
              </w:rPr>
              <w:instrText xml:space="preserve">PAGEREF _Toc228877711 \h</w:instrText>
            </w:r>
            <w:r>
              <w:rPr>
                <w:webHidden/>
              </w:rPr>
              <w:fldChar w:fldCharType="separate"/>
            </w:r>
            <w:r>
              <w:rPr>
                <w:rStyle w:val="Style17"/>
                <w:vanish w:val="false"/>
              </w:rPr>
              <w:tab/>
              <w:t>61</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12">
            <w:r>
              <w:rPr>
                <w:webHidden/>
                <w:rStyle w:val="Style17"/>
                <w:vanish w:val="false"/>
              </w:rPr>
              <w:t>8.</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Приложение № 3 – Требования к Участникам</w:t>
            </w:r>
            <w:r>
              <w:rPr>
                <w:webHidden/>
              </w:rPr>
              <w:fldChar w:fldCharType="begin"/>
            </w:r>
            <w:r>
              <w:rPr>
                <w:webHidden/>
              </w:rPr>
              <w:instrText xml:space="preserve">PAGEREF _Toc228877712 \h</w:instrText>
            </w:r>
            <w:r>
              <w:rPr>
                <w:webHidden/>
              </w:rPr>
              <w:fldChar w:fldCharType="separate"/>
            </w:r>
            <w:r>
              <w:rPr>
                <w:rStyle w:val="Style17"/>
                <w:vanish w:val="false"/>
              </w:rPr>
              <w:tab/>
              <w:t>62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13">
            <w:r>
              <w:rPr>
                <w:webHidden/>
                <w:rStyle w:val="Style17"/>
                <w:vanish w:val="false"/>
              </w:rPr>
              <w:t>8.1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Пояснения к требованиям к Участникам</w:t>
            </w:r>
            <w:r>
              <w:rPr>
                <w:webHidden/>
              </w:rPr>
              <w:fldChar w:fldCharType="begin"/>
            </w:r>
            <w:r>
              <w:rPr>
                <w:webHidden/>
              </w:rPr>
              <w:instrText xml:space="preserve">PAGEREF _Toc228877713 \h</w:instrText>
            </w:r>
            <w:r>
              <w:rPr>
                <w:webHidden/>
              </w:rPr>
              <w:fldChar w:fldCharType="separate"/>
            </w:r>
            <w:r>
              <w:rPr>
                <w:rStyle w:val="Style17"/>
                <w:vanish w:val="false"/>
              </w:rPr>
              <w:tab/>
              <w:t>62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14">
            <w:r>
              <w:rPr>
                <w:webHidden/>
                <w:rStyle w:val="Style17"/>
                <w:vanish w:val="false"/>
              </w:rPr>
              <w:t>8.2</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Обязательные требования</w:t>
            </w:r>
            <w:r>
              <w:rPr>
                <w:webHidden/>
              </w:rPr>
              <w:fldChar w:fldCharType="begin"/>
            </w:r>
            <w:r>
              <w:rPr>
                <w:webHidden/>
              </w:rPr>
              <w:instrText xml:space="preserve">PAGEREF _Toc228877714 \h</w:instrText>
            </w:r>
            <w:r>
              <w:rPr>
                <w:webHidden/>
              </w:rPr>
              <w:fldChar w:fldCharType="separate"/>
            </w:r>
            <w:r>
              <w:rPr>
                <w:rStyle w:val="Style17"/>
                <w:vanish w:val="false"/>
              </w:rPr>
              <w:tab/>
              <w:t>62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15">
            <w:r>
              <w:rPr>
                <w:webHidden/>
                <w:rStyle w:val="Style17"/>
                <w:vanish w:val="false"/>
              </w:rPr>
              <w:t>8.3</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Специальные требования</w:t>
            </w:r>
            <w:r>
              <w:rPr>
                <w:webHidden/>
              </w:rPr>
              <w:fldChar w:fldCharType="begin"/>
            </w:r>
            <w:r>
              <w:rPr>
                <w:webHidden/>
              </w:rPr>
              <w:instrText xml:space="preserve">PAGEREF _Toc228877715 \h</w:instrText>
            </w:r>
            <w:r>
              <w:rPr>
                <w:webHidden/>
              </w:rPr>
              <w:fldChar w:fldCharType="separate"/>
            </w:r>
            <w:r>
              <w:rPr>
                <w:rStyle w:val="Style17"/>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16">
            <w:r>
              <w:rPr>
                <w:webHidden/>
                <w:rStyle w:val="Style17"/>
                <w:vanish w:val="false"/>
              </w:rPr>
              <w:t>8.4</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Дополнительные требования к Генеральным подрядчикам</w:t>
            </w:r>
            <w:r>
              <w:rPr>
                <w:webHidden/>
              </w:rPr>
              <w:fldChar w:fldCharType="begin"/>
            </w:r>
            <w:r>
              <w:rPr>
                <w:webHidden/>
              </w:rPr>
              <w:instrText xml:space="preserve">PAGEREF _Toc228877716 \h</w:instrText>
            </w:r>
            <w:r>
              <w:rPr>
                <w:webHidden/>
              </w:rPr>
              <w:fldChar w:fldCharType="separate"/>
            </w:r>
            <w:r>
              <w:rPr>
                <w:rStyle w:val="Style17"/>
                <w:vanish w:val="false"/>
              </w:rPr>
              <w:tab/>
              <w:t>67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17">
            <w:r>
              <w:rPr>
                <w:webHidden/>
                <w:rStyle w:val="Style17"/>
                <w:vanish w:val="false"/>
              </w:rPr>
              <w:t>9.</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Приложение № 4 – Образцы форм документов, включаемых в состав заявки</w:t>
            </w:r>
            <w:r>
              <w:rPr>
                <w:webHidden/>
              </w:rPr>
              <w:fldChar w:fldCharType="begin"/>
            </w:r>
            <w:r>
              <w:rPr>
                <w:webHidden/>
              </w:rPr>
              <w:instrText xml:space="preserve">PAGEREF _Toc228877717 \h</w:instrText>
            </w:r>
            <w:r>
              <w:rPr>
                <w:webHidden/>
              </w:rPr>
              <w:fldChar w:fldCharType="separate"/>
            </w:r>
            <w:r>
              <w:rPr>
                <w:rStyle w:val="Style17"/>
                <w:vanish w:val="false"/>
              </w:rPr>
              <w:tab/>
              <w:t>69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18">
            <w:r>
              <w:rPr>
                <w:webHidden/>
                <w:rStyle w:val="Style17"/>
                <w:vanish w:val="false"/>
              </w:rPr>
              <w:t>9.1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Пояснения к Образцам форм документов, включаемых в состав заявки</w:t>
            </w:r>
            <w:r>
              <w:rPr>
                <w:webHidden/>
              </w:rPr>
              <w:fldChar w:fldCharType="begin"/>
            </w:r>
            <w:r>
              <w:rPr>
                <w:webHidden/>
              </w:rPr>
              <w:instrText xml:space="preserve">PAGEREF _Toc228877718 \h</w:instrText>
            </w:r>
            <w:r>
              <w:rPr>
                <w:webHidden/>
              </w:rPr>
              <w:fldChar w:fldCharType="separate"/>
            </w:r>
            <w:r>
              <w:rPr>
                <w:rStyle w:val="Style17"/>
                <w:vanish w:val="false"/>
              </w:rPr>
              <w:tab/>
              <w:t>69</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19">
            <w:r>
              <w:rPr>
                <w:webHidden/>
                <w:rStyle w:val="Style17"/>
                <w:vanish w:val="false"/>
              </w:rPr>
              <w:t>10.</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Приложение № 5 – Образцы форм документов, предоставляемых Победителем</w:t>
            </w:r>
            <w:r>
              <w:rPr>
                <w:webHidden/>
              </w:rPr>
              <w:fldChar w:fldCharType="begin"/>
            </w:r>
            <w:r>
              <w:rPr>
                <w:webHidden/>
              </w:rPr>
              <w:instrText xml:space="preserve">PAGEREF _Toc228877719 \h</w:instrText>
            </w:r>
            <w:r>
              <w:rPr>
                <w:webHidden/>
              </w:rPr>
              <w:fldChar w:fldCharType="separate"/>
            </w:r>
            <w:r>
              <w:rPr>
                <w:rStyle w:val="Style17"/>
                <w:vanish w:val="false"/>
              </w:rPr>
              <w:tab/>
              <w:t>70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20">
            <w:r>
              <w:rPr>
                <w:webHidden/>
                <w:rStyle w:val="Style17"/>
                <w:vanish w:val="false"/>
              </w:rPr>
              <w:t>10.1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Пояснения к Образцам форм документов, предоставляемых Победителем</w:t>
            </w:r>
            <w:r>
              <w:rPr>
                <w:webHidden/>
              </w:rPr>
              <w:fldChar w:fldCharType="begin"/>
            </w:r>
            <w:r>
              <w:rPr>
                <w:webHidden/>
              </w:rPr>
              <w:instrText xml:space="preserve">PAGEREF _Toc228877720 \h</w:instrText>
            </w:r>
            <w:r>
              <w:rPr>
                <w:webHidden/>
              </w:rPr>
              <w:fldChar w:fldCharType="separate"/>
            </w:r>
            <w:r>
              <w:rPr>
                <w:rStyle w:val="Style17"/>
                <w:vanish w:val="false"/>
              </w:rPr>
              <w:tab/>
              <w:t>70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21">
            <w:r>
              <w:rPr>
                <w:webHidden/>
                <w:rStyle w:val="Style17"/>
                <w:vanish w:val="false"/>
              </w:rPr>
              <w:t>10.2</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Форма справки «Сведения о цепочке собственников, включая бенефициаров (в том числе конечных)»</w:t>
            </w:r>
            <w:r>
              <w:rPr>
                <w:webHidden/>
              </w:rPr>
              <w:fldChar w:fldCharType="begin"/>
            </w:r>
            <w:r>
              <w:rPr>
                <w:webHidden/>
              </w:rPr>
              <w:instrText xml:space="preserve">PAGEREF _Toc228877721 \h</w:instrText>
            </w:r>
            <w:r>
              <w:rPr>
                <w:webHidden/>
              </w:rPr>
              <w:fldChar w:fldCharType="separate"/>
            </w:r>
            <w:r>
              <w:rPr>
                <w:rStyle w:val="Style17"/>
                <w:vanish w:val="false"/>
              </w:rPr>
              <w:tab/>
              <w:t>70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22">
            <w:r>
              <w:rPr>
                <w:webHidden/>
                <w:rStyle w:val="Style17"/>
                <w:vanish w:val="false"/>
              </w:rPr>
              <w:t>10.3</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Форма «Заверение об обстоятельствах»</w:t>
            </w:r>
            <w:r>
              <w:rPr>
                <w:webHidden/>
              </w:rPr>
              <w:fldChar w:fldCharType="begin"/>
            </w:r>
            <w:r>
              <w:rPr>
                <w:webHidden/>
              </w:rPr>
              <w:instrText xml:space="preserve">PAGEREF _Toc228877722 \h</w:instrText>
            </w:r>
            <w:r>
              <w:rPr>
                <w:webHidden/>
              </w:rPr>
              <w:fldChar w:fldCharType="separate"/>
            </w:r>
            <w:r>
              <w:rPr>
                <w:rStyle w:val="Style17"/>
                <w:vanish w:val="false"/>
              </w:rPr>
              <w:tab/>
              <w:t>70</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23">
            <w:r>
              <w:rPr>
                <w:webHidden/>
                <w:rStyle w:val="Style17"/>
                <w:vanish w:val="false"/>
              </w:rPr>
              <w:t>11.</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Приложение № 6 – Состав заявки</w:t>
            </w:r>
            <w:r>
              <w:rPr>
                <w:webHidden/>
              </w:rPr>
              <w:fldChar w:fldCharType="begin"/>
            </w:r>
            <w:r>
              <w:rPr>
                <w:webHidden/>
              </w:rPr>
              <w:instrText xml:space="preserve">PAGEREF _Toc228877723 \h</w:instrText>
            </w:r>
            <w:r>
              <w:rPr>
                <w:webHidden/>
              </w:rPr>
              <w:fldChar w:fldCharType="separate"/>
            </w:r>
            <w:r>
              <w:rPr>
                <w:rStyle w:val="Style17"/>
                <w:vanish w:val="false"/>
              </w:rPr>
              <w:tab/>
              <w:t>72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24">
            <w:r>
              <w:rPr>
                <w:webHidden/>
                <w:rStyle w:val="Style17"/>
                <w:vanish w:val="false"/>
              </w:rPr>
              <w:t>11.1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Состав заявки</w:t>
            </w:r>
            <w:r>
              <w:rPr>
                <w:webHidden/>
              </w:rPr>
              <w:fldChar w:fldCharType="begin"/>
            </w:r>
            <w:r>
              <w:rPr>
                <w:webHidden/>
              </w:rPr>
              <w:instrText xml:space="preserve">PAGEREF _Toc228877724 \h</w:instrText>
            </w:r>
            <w:r>
              <w:rPr>
                <w:webHidden/>
              </w:rPr>
              <w:fldChar w:fldCharType="separate"/>
            </w:r>
            <w:r>
              <w:rPr>
                <w:rStyle w:val="Style17"/>
                <w:vanish w:val="false"/>
              </w:rPr>
              <w:tab/>
              <w:t>72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25">
            <w:r>
              <w:rPr>
                <w:webHidden/>
                <w:rStyle w:val="Style17"/>
                <w:vanish w:val="false"/>
              </w:rPr>
              <w:t>12.</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Приложение № 7 – Отборочные критерии рассмотрения заявок</w:t>
            </w:r>
            <w:r>
              <w:rPr>
                <w:webHidden/>
              </w:rPr>
              <w:fldChar w:fldCharType="begin"/>
            </w:r>
            <w:r>
              <w:rPr>
                <w:webHidden/>
              </w:rPr>
              <w:instrText xml:space="preserve">PAGEREF _Toc228877725 \h</w:instrText>
            </w:r>
            <w:r>
              <w:rPr>
                <w:webHidden/>
              </w:rPr>
              <w:fldChar w:fldCharType="separate"/>
            </w:r>
            <w:r>
              <w:rPr>
                <w:rStyle w:val="Style17"/>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26">
            <w:r>
              <w:rPr>
                <w:webHidden/>
                <w:rStyle w:val="Style17"/>
                <w:vanish w:val="false"/>
              </w:rPr>
              <w:t>12.1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Отборочные критерии рассмотрения первых частей заявок</w:t>
            </w:r>
            <w:r>
              <w:rPr>
                <w:webHidden/>
              </w:rPr>
              <w:fldChar w:fldCharType="begin"/>
            </w:r>
            <w:r>
              <w:rPr>
                <w:webHidden/>
              </w:rPr>
              <w:instrText xml:space="preserve">PAGEREF _Toc228877726 \h</w:instrText>
            </w:r>
            <w:r>
              <w:rPr>
                <w:webHidden/>
              </w:rPr>
              <w:fldChar w:fldCharType="separate"/>
            </w:r>
            <w:r>
              <w:rPr>
                <w:rStyle w:val="Style17"/>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27">
            <w:r>
              <w:rPr>
                <w:webHidden/>
                <w:rStyle w:val="Style17"/>
                <w:vanish w:val="false"/>
              </w:rPr>
              <w:t>12.2</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Дополнительные критерии проверки первых частей заявок на соответствия условиям Документации о закупке</w:t>
            </w:r>
            <w:r>
              <w:rPr>
                <w:webHidden/>
              </w:rPr>
              <w:fldChar w:fldCharType="begin"/>
            </w:r>
            <w:r>
              <w:rPr>
                <w:webHidden/>
              </w:rPr>
              <w:instrText xml:space="preserve">PAGEREF _Toc228877727 \h</w:instrText>
            </w:r>
            <w:r>
              <w:rPr>
                <w:webHidden/>
              </w:rPr>
              <w:fldChar w:fldCharType="separate"/>
            </w:r>
            <w:r>
              <w:rPr>
                <w:rStyle w:val="Style17"/>
                <w:vanish w:val="false"/>
              </w:rPr>
              <w:tab/>
              <w:t>76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28">
            <w:r>
              <w:rPr>
                <w:webHidden/>
                <w:rStyle w:val="Style17"/>
                <w:vanish w:val="false"/>
              </w:rPr>
              <w:t>12.3</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Отборочные критерии рассмотрения вторых частей заявок</w:t>
            </w:r>
            <w:r>
              <w:rPr>
                <w:webHidden/>
              </w:rPr>
              <w:fldChar w:fldCharType="begin"/>
            </w:r>
            <w:r>
              <w:rPr>
                <w:webHidden/>
              </w:rPr>
              <w:instrText xml:space="preserve">PAGEREF _Toc228877728 \h</w:instrText>
            </w:r>
            <w:r>
              <w:rPr>
                <w:webHidden/>
              </w:rPr>
              <w:fldChar w:fldCharType="separate"/>
            </w:r>
            <w:r>
              <w:rPr>
                <w:rStyle w:val="Style17"/>
                <w:vanish w:val="false"/>
              </w:rPr>
              <w:tab/>
              <w:t>77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29">
            <w:r>
              <w:rPr>
                <w:webHidden/>
                <w:rStyle w:val="Style17"/>
                <w:vanish w:val="false"/>
              </w:rPr>
              <w:t>12.4</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Отборочные критерии рассмотрения ценовых предложений</w:t>
            </w:r>
            <w:r>
              <w:rPr>
                <w:webHidden/>
              </w:rPr>
              <w:fldChar w:fldCharType="begin"/>
            </w:r>
            <w:r>
              <w:rPr>
                <w:webHidden/>
              </w:rPr>
              <w:instrText xml:space="preserve">PAGEREF _Toc228877729 \h</w:instrText>
            </w:r>
            <w:r>
              <w:rPr>
                <w:webHidden/>
              </w:rPr>
              <w:fldChar w:fldCharType="separate"/>
            </w:r>
            <w:r>
              <w:rPr>
                <w:rStyle w:val="Style17"/>
                <w:vanish w:val="false"/>
              </w:rPr>
              <w:tab/>
              <w:t>80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30">
            <w:r>
              <w:rPr>
                <w:webHidden/>
                <w:rStyle w:val="Style17"/>
                <w:vanish w:val="false"/>
              </w:rPr>
              <w:t>12.5</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Дополнительные критерии проверки заявок на соответствие условиям Документации о закупке</w:t>
            </w:r>
            <w:r>
              <w:rPr>
                <w:webHidden/>
              </w:rPr>
              <w:fldChar w:fldCharType="begin"/>
            </w:r>
            <w:r>
              <w:rPr>
                <w:webHidden/>
              </w:rPr>
              <w:instrText xml:space="preserve">PAGEREF _Toc228877730 \h</w:instrText>
            </w:r>
            <w:r>
              <w:rPr>
                <w:webHidden/>
              </w:rPr>
              <w:fldChar w:fldCharType="separate"/>
            </w:r>
            <w:r>
              <w:rPr>
                <w:rStyle w:val="Style17"/>
                <w:vanish w:val="false"/>
              </w:rPr>
              <w:tab/>
              <w:t>81</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31">
            <w:r>
              <w:rPr>
                <w:webHidden/>
                <w:rStyle w:val="Style17"/>
                <w:vanish w:val="false"/>
              </w:rPr>
              <w:t>13.</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Приложение № 8 – Порядок и критерии оценки и сопоставления заявок</w:t>
            </w:r>
            <w:r>
              <w:rPr>
                <w:webHidden/>
              </w:rPr>
              <w:fldChar w:fldCharType="begin"/>
            </w:r>
            <w:r>
              <w:rPr>
                <w:webHidden/>
              </w:rPr>
              <w:instrText xml:space="preserve">PAGEREF _Toc228877731 \h</w:instrText>
            </w:r>
            <w:r>
              <w:rPr>
                <w:webHidden/>
              </w:rPr>
              <w:fldChar w:fldCharType="separate"/>
            </w:r>
            <w:r>
              <w:rPr>
                <w:rStyle w:val="Style17"/>
                <w:vanish w:val="false"/>
              </w:rPr>
              <w:tab/>
              <w:t>83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32">
            <w:r>
              <w:rPr>
                <w:webHidden/>
                <w:rStyle w:val="Style17"/>
                <w:vanish w:val="false"/>
              </w:rPr>
              <w:t>13.1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Порядок и критерии оценки и сопоставления заявок</w:t>
            </w:r>
            <w:r>
              <w:rPr>
                <w:webHidden/>
              </w:rPr>
              <w:fldChar w:fldCharType="begin"/>
            </w:r>
            <w:r>
              <w:rPr>
                <w:webHidden/>
              </w:rPr>
              <w:instrText xml:space="preserve">PAGEREF _Toc228877732 \h</w:instrText>
            </w:r>
            <w:r>
              <w:rPr>
                <w:webHidden/>
              </w:rPr>
              <w:fldChar w:fldCharType="separate"/>
            </w:r>
            <w:r>
              <w:rPr>
                <w:rStyle w:val="Style17"/>
                <w:vanish w:val="false"/>
              </w:rPr>
              <w:tab/>
              <w:t>83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33">
            <w:r>
              <w:rPr>
                <w:webHidden/>
                <w:rStyle w:val="Style17"/>
                <w:vanish w:val="false"/>
              </w:rPr>
              <w:t>14.</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Приложение № 9 – Обоснование НМЦ</w:t>
            </w:r>
            <w:r>
              <w:rPr>
                <w:webHidden/>
              </w:rPr>
              <w:fldChar w:fldCharType="begin"/>
            </w:r>
            <w:r>
              <w:rPr>
                <w:webHidden/>
              </w:rPr>
              <w:instrText xml:space="preserve">PAGEREF _Toc228877733 \h</w:instrText>
            </w:r>
            <w:r>
              <w:rPr>
                <w:webHidden/>
              </w:rPr>
              <w:fldChar w:fldCharType="separate"/>
            </w:r>
            <w:r>
              <w:rPr>
                <w:rStyle w:val="Style17"/>
                <w:vanish w:val="false"/>
              </w:rPr>
              <w:tab/>
              <w:t>89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34">
            <w:r>
              <w:rPr>
                <w:webHidden/>
                <w:rStyle w:val="Style17"/>
                <w:vanish w:val="false"/>
              </w:rPr>
              <w:t>14.1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Пояснения к Обоснованию НМЦ</w:t>
            </w:r>
            <w:r>
              <w:rPr>
                <w:webHidden/>
              </w:rPr>
              <w:fldChar w:fldCharType="begin"/>
            </w:r>
            <w:r>
              <w:rPr>
                <w:webHidden/>
              </w:rPr>
              <w:instrText xml:space="preserve">PAGEREF _Toc228877734 \h</w:instrText>
            </w:r>
            <w:r>
              <w:rPr>
                <w:webHidden/>
              </w:rPr>
              <w:fldChar w:fldCharType="separate"/>
            </w:r>
            <w:r>
              <w:rPr>
                <w:rStyle w:val="Style17"/>
                <w:vanish w:val="false"/>
              </w:rPr>
              <w:tab/>
              <w:t>89</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35">
            <w:r>
              <w:rPr>
                <w:webHidden/>
                <w:rStyle w:val="Style17"/>
                <w:vanish w:val="false"/>
              </w:rPr>
              <w:t>15.</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Приложение № 10 – Форма Заявки на аккредитацию</w:t>
            </w:r>
            <w:r>
              <w:rPr>
                <w:webHidden/>
              </w:rPr>
              <w:fldChar w:fldCharType="begin"/>
            </w:r>
            <w:r>
              <w:rPr>
                <w:webHidden/>
              </w:rPr>
              <w:instrText xml:space="preserve">PAGEREF _Toc228877735 \h</w:instrText>
            </w:r>
            <w:r>
              <w:rPr>
                <w:webHidden/>
              </w:rPr>
              <w:fldChar w:fldCharType="separate"/>
            </w:r>
            <w:r>
              <w:rPr>
                <w:rStyle w:val="Style17"/>
                <w:vanish w:val="false"/>
              </w:rPr>
              <w:tab/>
              <w:t>90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36">
            <w:r>
              <w:rPr>
                <w:webHidden/>
                <w:rStyle w:val="Style17"/>
                <w:vanish w:val="false"/>
              </w:rPr>
              <w:t>15.1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Пояснения к форме Заявки на аккредитацию</w:t>
            </w:r>
            <w:r>
              <w:rPr>
                <w:webHidden/>
              </w:rPr>
              <w:fldChar w:fldCharType="begin"/>
            </w:r>
            <w:r>
              <w:rPr>
                <w:webHidden/>
              </w:rPr>
              <w:instrText xml:space="preserve">PAGEREF _Toc228877736 \h</w:instrText>
            </w:r>
            <w:r>
              <w:rPr>
                <w:webHidden/>
              </w:rPr>
              <w:fldChar w:fldCharType="separate"/>
            </w:r>
            <w:r>
              <w:rPr>
                <w:rStyle w:val="Style17"/>
                <w:vanish w:val="false"/>
              </w:rPr>
              <w:tab/>
              <w:t>90</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877737">
            <w:r>
              <w:rPr>
                <w:webHidden/>
                <w:rStyle w:val="Style17"/>
                <w:vanish w:val="false"/>
              </w:rPr>
              <w:t>16.</w:t>
            </w:r>
            <w:r>
              <w:rPr>
                <w:rStyle w:val="Style17"/>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7"/>
              </w:rPr>
              <w:t>Приложение № 11 – форма Данных бухгалтерской (финансовой) отчетности</w:t>
            </w:r>
            <w:r>
              <w:rPr>
                <w:webHidden/>
              </w:rPr>
              <w:fldChar w:fldCharType="begin"/>
            </w:r>
            <w:r>
              <w:rPr>
                <w:webHidden/>
              </w:rPr>
              <w:instrText xml:space="preserve">PAGEREF _Toc228877737 \h</w:instrText>
            </w:r>
            <w:r>
              <w:rPr>
                <w:webHidden/>
              </w:rPr>
              <w:fldChar w:fldCharType="separate"/>
            </w:r>
            <w:r>
              <w:rPr>
                <w:rStyle w:val="Style17"/>
                <w:vanish w:val="false"/>
              </w:rPr>
              <w:tab/>
              <w:t>91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877738">
            <w:r>
              <w:rPr>
                <w:webHidden/>
                <w:rStyle w:val="Style17"/>
                <w:vanish w:val="false"/>
              </w:rPr>
              <w:t>16.1</w:t>
            </w:r>
            <w:r>
              <w:rPr>
                <w:rStyle w:val="Style17"/>
                <w:rFonts w:eastAsia="" w:ascii="Calibri" w:hAnsi="Calibri" w:asciiTheme="minorHAnsi" w:eastAsiaTheme="minorEastAsia" w:hAnsiTheme="minorHAnsi"/>
                <w:kern w:val="2"/>
                <w:sz w:val="24"/>
                <w:szCs w:val="24"/>
                <w:lang w:eastAsia="ru-RU"/>
                <w14:ligatures w14:val="standardContextual"/>
              </w:rPr>
              <w:tab/>
            </w:r>
            <w:r>
              <w:rPr>
                <w:rStyle w:val="Style17"/>
              </w:rPr>
              <w:t>Пояснения к форме Данных бухгалтерской (финансовой) отчетности</w:t>
            </w:r>
            <w:r>
              <w:rPr>
                <w:webHidden/>
              </w:rPr>
              <w:fldChar w:fldCharType="begin"/>
            </w:r>
            <w:r>
              <w:rPr>
                <w:webHidden/>
              </w:rPr>
              <w:instrText xml:space="preserve">PAGEREF _Toc228877738 \h</w:instrText>
            </w:r>
            <w:r>
              <w:rPr>
                <w:webHidden/>
              </w:rPr>
              <w:fldChar w:fldCharType="separate"/>
            </w:r>
            <w:r>
              <w:rPr>
                <w:rStyle w:val="Style17"/>
                <w:vanish w:val="false"/>
              </w:rPr>
              <w:tab/>
              <w:t>91</w:t>
            </w:r>
            <w:r>
              <w:rPr>
                <w:webHidden/>
              </w:rPr>
              <w:fldChar w:fldCharType="end"/>
            </w:r>
          </w:hyperlink>
          <w:r>
            <w:rPr>
              <w:rStyle w:val="Style17"/>
              <w:vanish w:val="false"/>
            </w:rPr>
            <w:fldChar w:fldCharType="end"/>
          </w:r>
        </w:p>
      </w:sdtContent>
    </w:sdt>
    <w:p>
      <w:pPr>
        <w:pStyle w:val="Style32"/>
        <w:jc w:val="both"/>
        <w:rPr/>
      </w:pPr>
      <w:r>
        <w:rPr/>
      </w:r>
    </w:p>
    <w:p>
      <w:pPr>
        <w:pStyle w:val="Style32"/>
        <w:keepNext w:val="true"/>
        <w:spacing w:before="60" w:after="0"/>
        <w:rPr>
          <w:rStyle w:val="Style14"/>
        </w:rPr>
      </w:pPr>
      <w:r>
        <w:rPr>
          <w:rStyle w:val="Style14"/>
        </w:rPr>
        <w:t xml:space="preserve">[Примечание (дополнительные удобства работы с Документацией о закупке; Microsoft Word | </w:t>
      </w:r>
      <w:r>
        <w:rPr>
          <w:rStyle w:val="Style14"/>
          <w:color w:val="4472C4" w:themeColor="accent1"/>
        </w:rPr>
        <w:t>AlterOffice AText – отмечены отличая для данного текстового редактора</w:t>
      </w:r>
      <w:r>
        <w:rPr>
          <w:rStyle w:val="Style14"/>
        </w:rPr>
        <w:t>):</w:t>
      </w:r>
    </w:p>
    <w:p>
      <w:pPr>
        <w:pStyle w:val="Style32"/>
        <w:numPr>
          <w:ilvl w:val="0"/>
          <w:numId w:val="8"/>
        </w:numPr>
        <w:spacing w:before="60" w:after="0"/>
        <w:ind w:left="284" w:hanging="284"/>
        <w:rPr>
          <w:rStyle w:val="Style14"/>
        </w:rPr>
      </w:pPr>
      <w:r>
        <w:rPr>
          <w:rStyle w:val="Style14"/>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4"/>
          <w:color w:val="4472C4" w:themeColor="accent1"/>
        </w:rPr>
        <w:t>включается на вкладке «Вид» опцией «Навигатор»</w:t>
      </w:r>
      <w:r>
        <w:rPr>
          <w:rStyle w:val="Style14"/>
        </w:rPr>
        <w:t>;</w:t>
      </w:r>
    </w:p>
    <w:p>
      <w:pPr>
        <w:pStyle w:val="Style32"/>
        <w:numPr>
          <w:ilvl w:val="0"/>
          <w:numId w:val="8"/>
        </w:numPr>
        <w:spacing w:before="60" w:after="0"/>
        <w:ind w:left="284" w:hanging="284"/>
        <w:rPr>
          <w:rStyle w:val="Style14"/>
        </w:rPr>
      </w:pPr>
      <w:r>
        <w:rPr>
          <w:rStyle w:val="Style14"/>
        </w:rPr>
        <w:t>переход по перекрестным и другим ссылкам осуществляется левым кликом мыши с</w:t>
      </w:r>
      <w:r>
        <w:rPr>
          <w:rStyle w:val="Style14"/>
          <w:lang w:val="en-US"/>
        </w:rPr>
        <w:t> </w:t>
      </w:r>
      <w:r>
        <w:rPr>
          <w:rStyle w:val="Style14"/>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4"/>
          <w:color w:val="4472C4" w:themeColor="accent1"/>
        </w:rPr>
        <w:t>(обратный переход функционально не реализован в AlterOffice AText, пользуйтесь функциональностью «Навигатор»)</w:t>
      </w:r>
      <w:r>
        <w:rPr>
          <w:rStyle w:val="Style14"/>
        </w:rPr>
        <w:t>;</w:t>
      </w:r>
    </w:p>
    <w:p>
      <w:pPr>
        <w:pStyle w:val="Style32"/>
        <w:numPr>
          <w:ilvl w:val="0"/>
          <w:numId w:val="8"/>
        </w:numPr>
        <w:spacing w:before="60" w:after="0"/>
        <w:ind w:left="284" w:hanging="284"/>
        <w:rPr>
          <w:rStyle w:val="Style14"/>
        </w:rPr>
      </w:pPr>
      <w:r>
        <w:rPr>
          <w:rStyle w:val="Style14"/>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4"/>
          <w:lang w:val="en-US"/>
        </w:rPr>
        <w:t> </w:t>
      </w:r>
      <w:r>
        <w:rPr>
          <w:rStyle w:val="Style14"/>
        </w:rPr>
        <w:t>тексте;</w:t>
      </w:r>
    </w:p>
    <w:p>
      <w:pPr>
        <w:pStyle w:val="Style32"/>
        <w:numPr>
          <w:ilvl w:val="0"/>
          <w:numId w:val="8"/>
        </w:numPr>
        <w:spacing w:before="60" w:after="0"/>
        <w:ind w:left="284" w:hanging="284"/>
        <w:rPr>
          <w:rStyle w:val="Style14"/>
        </w:rPr>
      </w:pPr>
      <w:r>
        <w:rPr>
          <w:rStyle w:val="Style14"/>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4"/>
        </w:rPr>
        <w:t>.]</w:t>
      </w:r>
    </w:p>
    <w:p>
      <w:pPr>
        <w:pStyle w:val="Style31"/>
        <w:numPr>
          <w:ilvl w:val="0"/>
          <w:numId w:val="0"/>
        </w:numPr>
        <w:ind w:left="0" w:hanging="0"/>
        <w:outlineLvl w:val="0"/>
        <w:rPr/>
      </w:pPr>
      <w:bookmarkStart w:id="0" w:name="_Toc228877668"/>
      <w:r>
        <w:rPr/>
        <w:t>Сокращения</w:t>
      </w:r>
      <w:bookmarkEnd w:id="0"/>
    </w:p>
    <w:p>
      <w:pPr>
        <w:pStyle w:val="Style32"/>
        <w:ind w:firstLine="567"/>
        <w:rPr/>
      </w:pPr>
      <w:r>
        <w:rPr>
          <w:b/>
          <w:bCs/>
        </w:rPr>
        <w:t>ГК РФ</w:t>
      </w:r>
      <w:r>
        <w:rPr/>
        <w:t xml:space="preserve"> – Гражданской кодекс Российской Федерации.</w:t>
      </w:r>
    </w:p>
    <w:p>
      <w:pPr>
        <w:pStyle w:val="Style32"/>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32"/>
        <w:ind w:firstLine="567"/>
        <w:rPr/>
      </w:pPr>
      <w:r>
        <w:rPr>
          <w:b/>
          <w:bCs/>
        </w:rPr>
        <w:t>ЕАЭС</w:t>
      </w:r>
      <w:r>
        <w:rPr/>
        <w:t xml:space="preserve"> – Евразийский экономический союз.</w:t>
      </w:r>
    </w:p>
    <w:p>
      <w:pPr>
        <w:pStyle w:val="Style32"/>
        <w:ind w:firstLine="567"/>
        <w:rPr/>
      </w:pPr>
      <w:r>
        <w:rPr>
          <w:b/>
          <w:bCs/>
        </w:rPr>
        <w:t>ЕГРИП</w:t>
      </w:r>
      <w:r>
        <w:rPr/>
        <w:t xml:space="preserve"> – Единый государственный реестр индивидуальных предпринимателей.</w:t>
      </w:r>
    </w:p>
    <w:p>
      <w:pPr>
        <w:pStyle w:val="Style32"/>
        <w:ind w:firstLine="567"/>
        <w:rPr/>
      </w:pPr>
      <w:r>
        <w:rPr>
          <w:b/>
          <w:bCs/>
        </w:rPr>
        <w:t>ЕГРЮЛ</w:t>
      </w:r>
      <w:r>
        <w:rPr/>
        <w:t xml:space="preserve"> – Единый государственный реестр юридических лиц.</w:t>
      </w:r>
    </w:p>
    <w:p>
      <w:pPr>
        <w:pStyle w:val="Style32"/>
        <w:ind w:firstLine="567"/>
        <w:rPr/>
      </w:pPr>
      <w:r>
        <w:rPr>
          <w:b/>
          <w:bCs/>
        </w:rPr>
        <w:t>ЕИС</w:t>
      </w:r>
      <w:r>
        <w:rPr/>
        <w:t xml:space="preserve"> – Единая информационная система в сфере закупок.</w:t>
      </w:r>
    </w:p>
    <w:p>
      <w:pPr>
        <w:pStyle w:val="Style32"/>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32"/>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32"/>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32"/>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32"/>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32"/>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32"/>
        <w:ind w:firstLine="567"/>
        <w:rPr/>
      </w:pPr>
      <w:r>
        <w:rPr>
          <w:b/>
          <w:bCs/>
        </w:rPr>
        <w:t>Извещение</w:t>
      </w:r>
      <w:r>
        <w:rPr/>
        <w:t xml:space="preserve"> – извещение о проведении настоящей закупки.</w:t>
      </w:r>
    </w:p>
    <w:p>
      <w:pPr>
        <w:pStyle w:val="Style32"/>
        <w:ind w:firstLine="567"/>
        <w:rPr/>
      </w:pPr>
      <w:r>
        <w:rPr>
          <w:b/>
          <w:bCs/>
        </w:rPr>
        <w:t>ИНН</w:t>
      </w:r>
      <w:r>
        <w:rPr/>
        <w:t xml:space="preserve"> – идентификационный номер налогоплательщика.</w:t>
      </w:r>
    </w:p>
    <w:p>
      <w:pPr>
        <w:pStyle w:val="Style32"/>
        <w:ind w:firstLine="567"/>
        <w:rPr/>
      </w:pPr>
      <w:r>
        <w:rPr>
          <w:b/>
          <w:bCs/>
        </w:rPr>
        <w:t>ИФНС</w:t>
      </w:r>
      <w:r>
        <w:rPr/>
        <w:t xml:space="preserve"> – инспекция Федеральной налоговой службы Российской Федерации.</w:t>
      </w:r>
    </w:p>
    <w:p>
      <w:pPr>
        <w:pStyle w:val="Style32"/>
        <w:ind w:firstLine="567"/>
        <w:rPr/>
      </w:pPr>
      <w:r>
        <w:rPr>
          <w:b/>
          <w:bCs/>
        </w:rPr>
        <w:t>МТР</w:t>
      </w:r>
      <w:r>
        <w:rPr/>
        <w:t xml:space="preserve"> – материально-технические ресурсы.</w:t>
      </w:r>
    </w:p>
    <w:p>
      <w:pPr>
        <w:pStyle w:val="Style32"/>
        <w:ind w:firstLine="567"/>
        <w:rPr/>
      </w:pPr>
      <w:r>
        <w:rPr>
          <w:b/>
          <w:bCs/>
        </w:rPr>
        <w:t>НДС</w:t>
      </w:r>
      <w:r>
        <w:rPr/>
        <w:t xml:space="preserve"> – налог на добавленную стоимость.</w:t>
      </w:r>
    </w:p>
    <w:p>
      <w:pPr>
        <w:pStyle w:val="Style32"/>
        <w:ind w:firstLine="567"/>
        <w:rPr/>
      </w:pPr>
      <w:r>
        <w:rPr>
          <w:b/>
          <w:bCs/>
        </w:rPr>
        <w:t>НМЦ</w:t>
      </w:r>
      <w:r>
        <w:rPr/>
        <w:t xml:space="preserve"> – начальная (максимальная) цена договора.</w:t>
      </w:r>
    </w:p>
    <w:p>
      <w:pPr>
        <w:pStyle w:val="Style32"/>
        <w:ind w:firstLine="567"/>
        <w:rPr/>
      </w:pPr>
      <w:r>
        <w:rPr>
          <w:b/>
          <w:bCs/>
        </w:rPr>
        <w:t>Оператор ЭП</w:t>
      </w:r>
      <w:r>
        <w:rPr/>
        <w:t xml:space="preserve"> – оператор электронной площадки.</w:t>
      </w:r>
    </w:p>
    <w:p>
      <w:pPr>
        <w:pStyle w:val="Style32"/>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32"/>
        <w:ind w:firstLine="567"/>
        <w:rPr/>
      </w:pPr>
      <w:r>
        <w:rPr>
          <w:b/>
          <w:bCs/>
        </w:rPr>
        <w:t>Положение о закупке</w:t>
      </w:r>
      <w:r>
        <w:rPr/>
        <w:t xml:space="preserve"> – Единое Положение о закупке продукции для нужд Группы РусГидро.</w:t>
      </w:r>
    </w:p>
    <w:p>
      <w:pPr>
        <w:pStyle w:val="Style32"/>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32"/>
        <w:ind w:firstLine="567"/>
        <w:rPr/>
      </w:pPr>
      <w:r>
        <w:rPr>
          <w:b/>
          <w:bCs/>
        </w:rPr>
        <w:t>ПП 325</w:t>
      </w:r>
      <w:r>
        <w:rPr/>
        <w:t xml:space="preserve"> – постановление Правительства Российской Федерации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pPr>
        <w:pStyle w:val="Style32"/>
        <w:ind w:firstLine="567"/>
        <w:rPr/>
      </w:pPr>
      <w:r>
        <w:rPr>
          <w:b/>
          <w:bCs/>
        </w:rPr>
        <w:t>ПП 719</w:t>
      </w:r>
      <w:r>
        <w:rPr/>
        <w:t xml:space="preserve"> – постановление Правительства Российской Федерации от 17.07. 2014 № 719 «О подтверждении производства российской промышленной продукции».</w:t>
      </w:r>
    </w:p>
    <w:p>
      <w:pPr>
        <w:pStyle w:val="Style32"/>
        <w:ind w:firstLine="567"/>
        <w:rPr/>
      </w:pPr>
      <w:r>
        <w:rPr/>
      </w:r>
    </w:p>
    <w:p>
      <w:pPr>
        <w:pStyle w:val="Style32"/>
        <w:ind w:firstLine="567"/>
        <w:rPr/>
      </w:pPr>
      <w:r>
        <w:rPr>
          <w:b/>
          <w:bCs/>
        </w:rPr>
        <w:t>ПП 1352</w:t>
      </w:r>
      <w:r>
        <w:rPr/>
        <w:t xml:space="preserve"> – постановление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32"/>
        <w:ind w:firstLine="567"/>
        <w:rPr/>
      </w:pPr>
      <w:r>
        <w:rPr>
          <w:b/>
          <w:bCs/>
        </w:rPr>
        <w:t>ПП 1875</w:t>
      </w:r>
      <w:r>
        <w:rPr/>
        <w:t xml:space="preserve"> –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32"/>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32"/>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32"/>
        <w:ind w:firstLine="567"/>
        <w:rPr/>
      </w:pPr>
      <w:r>
        <w:rPr>
          <w:b/>
          <w:bCs/>
        </w:rPr>
        <w:t>Субъект МСП</w:t>
      </w:r>
      <w:r>
        <w:rPr/>
        <w:t xml:space="preserve"> – субъект малого и среднего предпринимательства.</w:t>
      </w:r>
    </w:p>
    <w:p>
      <w:pPr>
        <w:pStyle w:val="Style32"/>
        <w:ind w:firstLine="567"/>
        <w:rPr/>
      </w:pPr>
      <w:r>
        <w:rPr>
          <w:b/>
          <w:bCs/>
        </w:rPr>
        <w:t>ЭП</w:t>
      </w:r>
      <w:r>
        <w:rPr/>
        <w:t xml:space="preserve"> – электронная площадка.</w:t>
      </w:r>
    </w:p>
    <w:p>
      <w:pPr>
        <w:pStyle w:val="Style31"/>
        <w:numPr>
          <w:ilvl w:val="0"/>
          <w:numId w:val="0"/>
        </w:numPr>
        <w:ind w:left="0" w:hanging="0"/>
        <w:outlineLvl w:val="0"/>
        <w:rPr/>
      </w:pPr>
      <w:bookmarkStart w:id="1" w:name="_Toc228877669"/>
      <w:r>
        <w:rPr/>
        <w:t>Термины и определения</w:t>
      </w:r>
      <w:bookmarkEnd w:id="1"/>
    </w:p>
    <w:p>
      <w:pPr>
        <w:pStyle w:val="Style32"/>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32"/>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2"/>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32"/>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32"/>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32"/>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32"/>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32"/>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32"/>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32"/>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32"/>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32"/>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32"/>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32"/>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32"/>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32"/>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2"/>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32"/>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32"/>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32"/>
        <w:ind w:firstLine="567"/>
        <w:rPr/>
      </w:pPr>
      <w:r>
        <w:rPr>
          <w:b/>
          <w:bCs/>
        </w:rPr>
        <w:t>Официальное размещение</w:t>
      </w:r>
      <w:r>
        <w:rPr/>
        <w:t xml:space="preserve"> – размещение информации о закупке в ЕИС, на Официальном сайте </w:t>
      </w:r>
      <w:bookmarkStart w:id="2" w:name="_Hlk149048701"/>
      <w:r>
        <w:rPr/>
        <w:t>(с размещением копий на ЭП)</w:t>
      </w:r>
      <w:bookmarkEnd w:id="2"/>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32"/>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32"/>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32"/>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32"/>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32"/>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32"/>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равных условий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32"/>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32"/>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32"/>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32"/>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32"/>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w:t>
      </w:r>
      <w:r>
        <w:rPr>
          <w:rFonts w:eastAsia="Calibri" w:cs="Times New Roman"/>
          <w:shd w:fill="FFFFFF" w:val="clear"/>
        </w:rPr>
        <w:t>в том числе выданной в порядке передоверия,</w:t>
      </w:r>
      <w:r>
        <w:rPr/>
        <w:t xml:space="preserve"> от имени организации, полномочия которых подтверждены соответствующими документами.</w:t>
      </w:r>
    </w:p>
    <w:p>
      <w:pPr>
        <w:pStyle w:val="Style32"/>
        <w:ind w:firstLine="567"/>
        <w:rPr/>
      </w:pPr>
      <w:r>
        <w:rPr>
          <w:b/>
          <w:bCs/>
        </w:rPr>
        <w:t>Участник</w:t>
      </w:r>
      <w:r>
        <w:rPr/>
        <w:t xml:space="preserve"> – любое юридическое лицо,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в том числе индивидуальный предприниматель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32"/>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26"/>
        <w:rPr/>
      </w:pPr>
      <w:bookmarkStart w:id="3" w:name="_Toc228877670"/>
      <w:bookmarkStart w:id="4" w:name="_Ref125359988"/>
      <w:r>
        <w:rPr/>
        <w:t>Основные сведения о закупке</w:t>
      </w:r>
      <w:bookmarkEnd w:id="3"/>
      <w:bookmarkEnd w:id="4"/>
    </w:p>
    <w:p>
      <w:pPr>
        <w:pStyle w:val="Style27"/>
        <w:rPr/>
      </w:pPr>
      <w:bookmarkStart w:id="5" w:name="_Toc228877671"/>
      <w:r>
        <w:rPr/>
        <w:t>Статус настоящего раздела</w:t>
      </w:r>
      <w:bookmarkEnd w:id="5"/>
    </w:p>
    <w:p>
      <w:pPr>
        <w:pStyle w:val="Style28"/>
        <w:rPr/>
      </w:pPr>
      <w:r>
        <w:rPr/>
        <w:t>В настоящем разделе содержатся основные сведения о предмете, способе и иных ключевых условиях проводимой закупки.</w:t>
      </w:r>
    </w:p>
    <w:p>
      <w:pPr>
        <w:pStyle w:val="Style28"/>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1"/>
          </w:rPr>
          <w:t>Технических требованиях (Приложение № 1)</w:t>
        </w:r>
      </w:hyperlink>
      <w:r>
        <w:rPr>
          <w:rStyle w:val="Style11"/>
        </w:rPr>
        <w:t>,</w:t>
      </w:r>
      <w:r>
        <w:rPr/>
        <w:t xml:space="preserve"> в </w:t>
      </w:r>
      <w:hyperlink w:anchor="Прил02_ПроектДоговора">
        <w:r>
          <w:rPr>
            <w:rStyle w:val="Style11"/>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8"/>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7"/>
        <w:spacing w:before="360" w:after="120"/>
        <w:rPr/>
      </w:pPr>
      <w:bookmarkStart w:id="6" w:name="_Ref132876309"/>
      <w:bookmarkStart w:id="7" w:name="_Ref127270076"/>
      <w:bookmarkStart w:id="8" w:name="_Ref125359973"/>
      <w:bookmarkStart w:id="9" w:name="_Toc228877672"/>
      <w:r>
        <w:rPr/>
        <w:t>Информация о проводимой закупке</w:t>
      </w:r>
      <w:bookmarkEnd w:id="6"/>
      <w:bookmarkEnd w:id="7"/>
      <w:bookmarkEnd w:id="8"/>
      <w:bookmarkEnd w:id="9"/>
    </w:p>
    <w:tbl>
      <w:tblPr>
        <w:tblStyle w:val="af9"/>
        <w:tblW w:w="9912"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6"/>
        <w:gridCol w:w="2977"/>
        <w:gridCol w:w="5809"/>
      </w:tblGrid>
      <w:tr>
        <w:trPr>
          <w:cnfStyle w:val="100000000000" w:firstRow="1" w:lastRow="0" w:firstColumn="0" w:lastColumn="0" w:oddVBand="0" w:evenVBand="0" w:oddHBand="0" w:evenHBand="0" w:firstRowFirstColumn="0" w:firstRowLastColumn="0" w:lastRowFirstColumn="0" w:lastRowLastColumn="0"/>
        </w:trPr>
        <w:tc>
          <w:tcPr>
            <w:tcW w:w="1126"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2977"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809"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0" w:name="_Ref125360980"/>
            <w:bookmarkStart w:id="11" w:name="_Ref125360980"/>
            <w:bookmarkEnd w:id="11"/>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Запрос предложений в электронной форме, участниками которого могут быть только субъекты МСП.</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2" w:name="_Ref125360996"/>
            <w:bookmarkStart w:id="13" w:name="_Ref125360996"/>
            <w:bookmarkEnd w:id="13"/>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809" w:type="dxa"/>
            <w:tcBorders/>
          </w:tcPr>
          <w:p>
            <w:pPr>
              <w:pStyle w:val="Style32"/>
              <w:widowControl w:val="false"/>
              <w:suppressAutoHyphens w:val="true"/>
              <w:spacing w:before="60" w:after="60"/>
              <w:rPr/>
            </w:pPr>
            <w:r>
              <w:rPr>
                <w:rFonts w:eastAsia="Calibri" w:cs=""/>
                <w:kern w:val="0"/>
                <w:sz w:val="26"/>
                <w:szCs w:val="22"/>
                <w:lang w:val="ru-RU" w:eastAsia="en-US" w:bidi="ar-SA"/>
              </w:rPr>
              <w:t>Лот № </w:t>
            </w:r>
            <w:r>
              <w:rPr>
                <w:rStyle w:val="Style8"/>
                <w:rFonts w:eastAsia="Calibri" w:cs=""/>
                <w:i w:val="false"/>
                <w:iCs w:val="false"/>
                <w:kern w:val="0"/>
                <w:sz w:val="26"/>
                <w:szCs w:val="22"/>
                <w:shd w:fill="auto" w:val="clear"/>
                <w:lang w:val="ru-RU" w:eastAsia="en-US" w:bidi="ar-SA"/>
              </w:rPr>
              <w:t>11028010-РЕМ ПРОД-2026-ДГК-НТЭЦ</w:t>
            </w:r>
            <w:r>
              <w:rPr>
                <w:rFonts w:eastAsia="Calibri" w:cs=""/>
                <w:i w:val="false"/>
                <w:iCs w:val="false"/>
                <w:kern w:val="0"/>
                <w:sz w:val="26"/>
                <w:szCs w:val="22"/>
                <w:shd w:fill="auto" w:val="clear"/>
                <w:lang w:val="ru-RU" w:eastAsia="en-US" w:bidi="ar-SA"/>
              </w:rPr>
              <w:t xml:space="preserve">: </w:t>
            </w:r>
            <w:r>
              <w:rPr>
                <w:rStyle w:val="Style8"/>
                <w:rFonts w:eastAsia="Calibri" w:cs=""/>
                <w:i w:val="false"/>
                <w:iCs w:val="false"/>
                <w:kern w:val="0"/>
                <w:sz w:val="26"/>
                <w:szCs w:val="22"/>
                <w:shd w:fill="auto" w:val="clear"/>
                <w:lang w:val="ru-RU" w:eastAsia="en-US" w:bidi="ar-SA"/>
              </w:rPr>
              <w:t xml:space="preserve">  «ОКПД2 42.11.10 Выполнение работ по восстановлению благоустройства территории при выполнении работ по текущему ремонту участка теплотрассы, г.Николаевск-на-Амуре для нужд структурного подразделения Николаевской ТЭЦ, АО «ДГК»»</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7"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809" w:type="dxa"/>
            <w:tcBorders/>
          </w:tcPr>
          <w:p>
            <w:pPr>
              <w:pStyle w:val="Style32"/>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1"/>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4" w:name="_Ref125367124"/>
            <w:bookmarkStart w:id="15" w:name="_Ref125367124"/>
            <w:bookmarkEnd w:id="15"/>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p>
            <w:pPr>
              <w:pStyle w:val="Style3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6" w:name="_Ref125360764"/>
            <w:bookmarkStart w:id="17" w:name="_Ref125360764"/>
            <w:bookmarkEnd w:id="17"/>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809" w:type="dxa"/>
            <w:tcBorders/>
          </w:tcPr>
          <w:p>
            <w:pPr>
              <w:pStyle w:val="Style32"/>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Электронная площадка:</w:t>
            </w:r>
          </w:p>
          <w:p>
            <w:pPr>
              <w:pStyle w:val="Style32"/>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https://rushydro.roseltorg.ru/</w:t>
            </w:r>
          </w:p>
          <w:p>
            <w:pPr>
              <w:pStyle w:val="Style32"/>
              <w:widowControl w:val="false"/>
              <w:suppressAutoHyphens w:val="true"/>
              <w:spacing w:before="120" w:after="60"/>
              <w:rPr/>
            </w:pPr>
            <w:r>
              <w:rPr>
                <w:rStyle w:val="Style8"/>
                <w:rFonts w:eastAsia="Calibri" w:cs="Arial"/>
                <w:i w:val="false"/>
                <w:iCs w:val="false"/>
                <w:kern w:val="0"/>
                <w:sz w:val="26"/>
                <w:szCs w:val="22"/>
                <w:shd w:fill="auto" w:val="clear"/>
                <w:lang w:val="ru-RU" w:eastAsia="en-US" w:bidi="ar-SA"/>
              </w:rPr>
              <w:t>Регламент ЕЭТП Росэлторг, в соответствии с которым проводится закупка, размещен по адресу: https://www.roseltorg.ru/knowledge_db/docs/documents</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8" w:name="_Ref125360970"/>
            <w:bookmarkStart w:id="19" w:name="_Ref125360970"/>
            <w:bookmarkEnd w:id="19"/>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w:t>
            </w:r>
          </w:p>
          <w:p>
            <w:pPr>
              <w:pStyle w:val="Style32"/>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1"/>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0" w:name="_Ref125360988"/>
            <w:bookmarkStart w:id="21" w:name="_Ref125360988"/>
            <w:bookmarkEnd w:id="21"/>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809" w:type="dxa"/>
            <w:tcBorders/>
          </w:tcPr>
          <w:p>
            <w:pPr>
              <w:pStyle w:val="Tableheader"/>
              <w:widowControl w:val="false"/>
              <w:suppressAutoHyphens w:val="true"/>
              <w:spacing w:before="6" w:after="6"/>
              <w:rPr>
                <w:b w:val="false"/>
                <w:sz w:val="40"/>
                <w:szCs w:val="40"/>
              </w:rPr>
            </w:pPr>
            <w:r>
              <w:rPr>
                <w:b w:val="false"/>
                <w:kern w:val="0"/>
                <w:sz w:val="26"/>
                <w:szCs w:val="26"/>
                <w:lang w:val="ru-RU" w:bidi="ar-SA"/>
              </w:rPr>
              <w:t>Наименование (полное и сокращенное): Акционерного общества «Дальневосточная генерирующая компания» (АО «ДГК»)</w:t>
            </w:r>
          </w:p>
          <w:p>
            <w:pPr>
              <w:pStyle w:val="Tableheader"/>
              <w:widowControl w:val="false"/>
              <w:suppressAutoHyphens w:val="true"/>
              <w:spacing w:before="6" w:after="6"/>
              <w:rPr>
                <w:b w:val="false"/>
                <w:sz w:val="40"/>
                <w:szCs w:val="40"/>
              </w:rPr>
            </w:pPr>
            <w:r>
              <w:rPr>
                <w:b w:val="false"/>
                <w:kern w:val="0"/>
                <w:sz w:val="26"/>
                <w:szCs w:val="26"/>
                <w:lang w:val="ru-RU" w:bidi="ar-SA"/>
              </w:rPr>
              <w:t>Место нахождения: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Почтовый адрес: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 xml:space="preserve">Адрес электронной почты: </w:t>
            </w:r>
            <w:r>
              <w:rPr>
                <w:b w:val="false"/>
                <w:kern w:val="0"/>
                <w:sz w:val="26"/>
                <w:szCs w:val="26"/>
                <w:lang w:val="ru-RU" w:eastAsia="en-US" w:bidi="ar-SA"/>
              </w:rPr>
              <w:t>dgk@dgk.ru</w:t>
            </w:r>
          </w:p>
          <w:p>
            <w:pPr>
              <w:pStyle w:val="Normal"/>
              <w:widowControl w:val="false"/>
              <w:tabs>
                <w:tab w:val="clear" w:pos="708"/>
                <w:tab w:val="left" w:pos="426" w:leader="none"/>
              </w:tabs>
              <w:suppressAutoHyphens w:val="true"/>
              <w:spacing w:before="6" w:after="6"/>
              <w:jc w:val="left"/>
              <w:rPr/>
            </w:pPr>
            <w:r>
              <w:rPr>
                <w:rStyle w:val="Style8"/>
                <w:rFonts w:eastAsia="Times New Roman" w:cs="Times New Roman"/>
                <w:i w:val="false"/>
                <w:iCs w:val="false"/>
                <w:szCs w:val="26"/>
                <w:shd w:fill="auto" w:val="clear"/>
                <w:lang w:val="ru-RU"/>
              </w:rPr>
              <w:t>Контактный телефон: +7 (4212) 26-42-54</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2" w:name="_Ref125360954"/>
            <w:bookmarkStart w:id="23" w:name="_Ref125360954"/>
            <w:bookmarkEnd w:id="23"/>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809" w:type="dxa"/>
            <w:tcBorders/>
          </w:tcPr>
          <w:p>
            <w:pPr>
              <w:pStyle w:val="Tableheader"/>
              <w:widowControl w:val="false"/>
              <w:suppressAutoHyphens w:val="true"/>
              <w:spacing w:before="6" w:after="6"/>
              <w:rPr>
                <w:b w:val="false"/>
                <w:sz w:val="40"/>
                <w:szCs w:val="40"/>
              </w:rPr>
            </w:pPr>
            <w:r>
              <w:rPr>
                <w:b w:val="false"/>
                <w:kern w:val="0"/>
                <w:sz w:val="26"/>
                <w:szCs w:val="26"/>
                <w:lang w:val="ru-RU" w:bidi="ar-SA"/>
              </w:rPr>
              <w:t>Наименование (полное и сокращенное): Акционерного общества «Дальневосточная генерирующая компания» (АО «ДГК»)</w:t>
            </w:r>
          </w:p>
          <w:p>
            <w:pPr>
              <w:pStyle w:val="Tableheader"/>
              <w:widowControl w:val="false"/>
              <w:suppressAutoHyphens w:val="true"/>
              <w:spacing w:before="6" w:after="6"/>
              <w:rPr>
                <w:b w:val="false"/>
                <w:sz w:val="40"/>
                <w:szCs w:val="40"/>
              </w:rPr>
            </w:pPr>
            <w:r>
              <w:rPr>
                <w:b w:val="false"/>
                <w:kern w:val="0"/>
                <w:sz w:val="26"/>
                <w:szCs w:val="26"/>
                <w:lang w:val="ru-RU" w:bidi="ar-SA"/>
              </w:rPr>
              <w:t>Место нахождения: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Почтовый адрес: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 xml:space="preserve">Адрес электронной почты: </w:t>
            </w:r>
            <w:r>
              <w:rPr>
                <w:b w:val="false"/>
                <w:kern w:val="0"/>
                <w:sz w:val="26"/>
                <w:szCs w:val="26"/>
                <w:lang w:val="ru-RU" w:eastAsia="en-US" w:bidi="ar-SA"/>
              </w:rPr>
              <w:t>dgk@dgk.ru</w:t>
            </w:r>
          </w:p>
          <w:p>
            <w:pPr>
              <w:pStyle w:val="Normal"/>
              <w:widowControl w:val="false"/>
              <w:tabs>
                <w:tab w:val="clear" w:pos="708"/>
                <w:tab w:val="left" w:pos="426" w:leader="none"/>
              </w:tabs>
              <w:suppressAutoHyphens w:val="true"/>
              <w:spacing w:before="6" w:after="6"/>
              <w:jc w:val="left"/>
              <w:rPr/>
            </w:pPr>
            <w:r>
              <w:rPr>
                <w:rStyle w:val="Style8"/>
                <w:rFonts w:eastAsia="Times New Roman" w:cs="Times New Roman"/>
                <w:i w:val="false"/>
                <w:iCs w:val="false"/>
                <w:szCs w:val="26"/>
                <w:shd w:fill="auto" w:val="clear"/>
                <w:lang w:val="ru-RU"/>
              </w:rPr>
              <w:t>Контактный телефон: +7 (4212) 26-42-54</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4" w:name="_Ref125361238"/>
            <w:bookmarkStart w:id="25" w:name="_Ref125361238"/>
            <w:bookmarkEnd w:id="25"/>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809" w:type="dxa"/>
            <w:tcBorders/>
          </w:tcPr>
          <w:p>
            <w:pPr>
              <w:pStyle w:val="Tableheader"/>
              <w:widowControl w:val="false"/>
              <w:suppressAutoHyphens w:val="true"/>
              <w:spacing w:before="6" w:after="6"/>
              <w:rPr>
                <w:b w:val="false"/>
                <w:sz w:val="40"/>
                <w:szCs w:val="40"/>
              </w:rPr>
            </w:pPr>
            <w:r>
              <w:rPr>
                <w:b w:val="false"/>
                <w:kern w:val="0"/>
                <w:sz w:val="26"/>
                <w:szCs w:val="26"/>
                <w:lang w:val="ru-RU" w:bidi="ar-SA"/>
              </w:rPr>
              <w:t>Контактное лицо (Ф.И.О.): Евстратенко Анна Валериевна</w:t>
            </w:r>
          </w:p>
          <w:p>
            <w:pPr>
              <w:pStyle w:val="Tableheader"/>
              <w:widowControl w:val="false"/>
              <w:suppressAutoHyphens w:val="true"/>
              <w:spacing w:before="6" w:after="6"/>
              <w:rPr>
                <w:b w:val="false"/>
                <w:sz w:val="40"/>
                <w:szCs w:val="40"/>
              </w:rPr>
            </w:pPr>
            <w:r>
              <w:rPr>
                <w:b w:val="false"/>
                <w:kern w:val="0"/>
                <w:sz w:val="26"/>
                <w:szCs w:val="26"/>
                <w:lang w:val="ru-RU" w:bidi="ar-SA"/>
              </w:rPr>
              <w:t>Контактный телефон: +7 (4212) 26-47-34</w:t>
            </w:r>
          </w:p>
          <w:p>
            <w:pPr>
              <w:pStyle w:val="Style32"/>
              <w:widowControl w:val="false"/>
              <w:suppressAutoHyphens w:val="true"/>
              <w:spacing w:before="120" w:after="60"/>
              <w:rPr/>
            </w:pPr>
            <w:r>
              <w:rPr>
                <w:rStyle w:val="Style8"/>
                <w:rFonts w:eastAsia="Times New Roman" w:cs="Times New Roman"/>
                <w:i w:val="false"/>
                <w:iCs w:val="false"/>
                <w:szCs w:val="26"/>
                <w:shd w:fill="auto" w:val="clear"/>
                <w:lang w:val="ru-RU"/>
              </w:rPr>
              <w:t>Адрес электронной почты: evstratenko-av@dgk.ru</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6" w:name="_Ref125362694"/>
            <w:bookmarkStart w:id="27" w:name="_Ref125362694"/>
            <w:bookmarkEnd w:id="27"/>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 w:name="_Ref125360963"/>
            <w:bookmarkStart w:id="29" w:name="_Ref125360963"/>
            <w:bookmarkEnd w:id="29"/>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25 » августа 2025 г.</w:t>
            </w:r>
          </w:p>
          <w:p>
            <w:pPr>
              <w:pStyle w:val="Style32"/>
              <w:widowControl w:val="false"/>
              <w:suppressAutoHyphens w:val="true"/>
              <w:spacing w:before="60" w:after="60"/>
              <w:rPr>
                <w:rStyle w:val="Style8"/>
              </w:rPr>
            </w:pPr>
            <w:r>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0" w:name="_Ref125362837"/>
            <w:bookmarkStart w:id="31" w:name="_Ref125362837"/>
            <w:bookmarkEnd w:id="31"/>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809"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НМЦ составляет </w:t>
            </w:r>
            <w:r>
              <w:rPr>
                <w:rFonts w:eastAsia="Calibri" w:cs=""/>
                <w:b/>
                <w:bCs/>
                <w:kern w:val="0"/>
                <w:sz w:val="26"/>
                <w:szCs w:val="22"/>
                <w:lang w:val="ru-RU" w:eastAsia="en-US" w:bidi="ar-SA"/>
              </w:rPr>
              <w:t>4 287 593,00</w:t>
            </w:r>
            <w:r>
              <w:rPr>
                <w:rFonts w:eastAsia="Calibri" w:cs=""/>
                <w:kern w:val="0"/>
                <w:sz w:val="26"/>
                <w:szCs w:val="22"/>
                <w:lang w:val="ru-RU" w:eastAsia="en-US" w:bidi="ar-SA"/>
              </w:rPr>
              <w:t> руб., без учета НДС.</w:t>
            </w:r>
          </w:p>
          <w:p>
            <w:pPr>
              <w:pStyle w:val="Style32"/>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1"/>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p>
            <w:pPr>
              <w:pStyle w:val="Style32"/>
              <w:widowControl w:val="false"/>
              <w:suppressAutoHyphens w:val="true"/>
              <w:spacing w:before="60" w:after="60"/>
              <w:rPr>
                <w:rStyle w:val="Style8"/>
              </w:rPr>
            </w:pPr>
            <w:r>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 w:name="_Ref125363076"/>
            <w:bookmarkStart w:id="33" w:name="_Ref125363076"/>
            <w:bookmarkEnd w:id="33"/>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2"/>
              <w:widowControl w:val="false"/>
              <w:suppressAutoHyphens w:val="true"/>
              <w:spacing w:before="60" w:after="60"/>
              <w:rPr/>
            </w:pPr>
            <w:r>
              <w:rPr>
                <w:rStyle w:val="Style8"/>
                <w:rFonts w:eastAsia="Calibri" w:cs=""/>
                <w:i w:val="false"/>
                <w:iCs w:val="false"/>
                <w:kern w:val="0"/>
                <w:sz w:val="26"/>
                <w:szCs w:val="22"/>
                <w:shd w:fill="auto" w:val="clear"/>
                <w:lang w:val="ru-RU" w:eastAsia="en-US" w:bidi="ar-SA"/>
              </w:rPr>
              <w:t>Внимание! Для того, чтобы иметь возможность подать заявку на участие в закупке, в соответствии с Регламентом ЭП на счете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 w:name="_Ref125362995"/>
            <w:bookmarkStart w:id="35" w:name="_Ref125362995"/>
            <w:bookmarkEnd w:id="35"/>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809" w:type="dxa"/>
            <w:tcBorders/>
          </w:tcPr>
          <w:p>
            <w:pPr>
              <w:pStyle w:val="Style32"/>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Национальный режим предоставляется.</w:t>
            </w:r>
          </w:p>
          <w:p>
            <w:pPr>
              <w:pStyle w:val="Style32"/>
              <w:widowControl w:val="false"/>
              <w:suppressAutoHyphens w:val="true"/>
              <w:spacing w:before="60" w:after="60"/>
              <w:rPr/>
            </w:pPr>
            <w:r>
              <w:rPr>
                <w:rFonts w:eastAsia="Calibri" w:cs=""/>
                <w:kern w:val="0"/>
                <w:sz w:val="26"/>
                <w:szCs w:val="22"/>
                <w:lang w:val="ru-RU" w:eastAsia="en-US" w:bidi="ar-SA"/>
              </w:rPr>
              <w:t>Подробнее в отношении каждой позиции закупаемой продукции указано в Структуре НМЦ (в составе Коммерческого предложения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 w:name="_Ref125475086"/>
            <w:bookmarkStart w:id="37" w:name="_Ref125475086"/>
            <w:bookmarkEnd w:id="37"/>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w:t>
              <w:br/>
              <w:t>подачи заявок:</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должна состоять из двух частей и ценового предложения.</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 w:name="_Ref125360779"/>
            <w:bookmarkStart w:id="39" w:name="_Ref125360779"/>
            <w:bookmarkEnd w:id="39"/>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25 » августа 2025 г.</w:t>
            </w:r>
          </w:p>
          <w:p>
            <w:pPr>
              <w:pStyle w:val="Style32"/>
              <w:widowControl w:val="false"/>
              <w:suppressAutoHyphens w:val="true"/>
              <w:spacing w:before="60" w:after="60"/>
              <w:rPr/>
            </w:pPr>
            <w:r>
              <w:rPr>
                <w:rFonts w:eastAsia="Calibri" w:cs=""/>
                <w:kern w:val="0"/>
                <w:sz w:val="26"/>
                <w:szCs w:val="22"/>
                <w:lang w:val="ru-RU" w:eastAsia="en-US" w:bidi="ar-SA"/>
              </w:rPr>
              <w:t>Дата и время окончания срока подачи заявок:</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04 » сентября 2026 г. в 15 ч. 00 мин.</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местному времени Организатора).</w:t>
            </w:r>
          </w:p>
          <w:p>
            <w:pPr>
              <w:pStyle w:val="Style3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04 » сентября 2026 г. в 15 ч. 00 мин.</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местному времени Организатора).</w:t>
            </w:r>
          </w:p>
          <w:p>
            <w:pPr>
              <w:pStyle w:val="Style3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1.2.17</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0" w:name="_Ref125476197"/>
            <w:bookmarkStart w:id="41" w:name="_Ref125476197"/>
            <w:bookmarkEnd w:id="41"/>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2" w:name="_Ref125362733"/>
            <w:bookmarkStart w:id="43" w:name="_Ref125362733"/>
            <w:bookmarkEnd w:id="43"/>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первых частей заявок:</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11 » сентября 2026 г.</w:t>
            </w:r>
          </w:p>
          <w:p>
            <w:pPr>
              <w:pStyle w:val="Style32"/>
              <w:widowControl w:val="false"/>
              <w:suppressAutoHyphens w:val="true"/>
              <w:spacing w:before="60" w:after="60"/>
              <w:rPr>
                <w:rStyle w:val="Style8"/>
              </w:rPr>
            </w:pPr>
            <w:r>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направления Оператором ЭП вторых частей заявок и ценовых предложений в адрес Организатора</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4" w:name="_Ref132898515"/>
            <w:bookmarkStart w:id="45" w:name="_Ref132898515"/>
            <w:bookmarkEnd w:id="45"/>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вторых частей заявок и ценовых предложений:</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25 » сентября 2026 г.</w:t>
            </w:r>
          </w:p>
          <w:p>
            <w:pPr>
              <w:pStyle w:val="Style32"/>
              <w:widowControl w:val="false"/>
              <w:suppressAutoHyphens w:val="true"/>
              <w:spacing w:before="60" w:after="60"/>
              <w:rPr>
                <w:rStyle w:val="Style8"/>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6" w:name="_Ref125362757"/>
            <w:bookmarkStart w:id="47" w:name="_Ref125362757"/>
            <w:bookmarkEnd w:id="47"/>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25 » сентября 2026 г.</w:t>
            </w:r>
          </w:p>
          <w:p>
            <w:pPr>
              <w:pStyle w:val="Style32"/>
              <w:widowControl w:val="false"/>
              <w:suppressAutoHyphens w:val="true"/>
              <w:spacing w:before="60" w:after="60"/>
              <w:rPr>
                <w:rStyle w:val="Style8"/>
              </w:rPr>
            </w:pPr>
            <w:r>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8" w:name="_Ref125366047"/>
            <w:bookmarkStart w:id="49" w:name="_Ref125366047"/>
            <w:bookmarkEnd w:id="49"/>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предоставляется.</w:t>
            </w:r>
          </w:p>
          <w:p>
            <w:pPr>
              <w:pStyle w:val="Style3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0" w:name="_Ref125361769"/>
            <w:bookmarkStart w:id="51" w:name="_Ref125361769"/>
            <w:bookmarkEnd w:id="51"/>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 итогов закупки:</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2" w:name="_Ref125366606"/>
            <w:bookmarkStart w:id="53" w:name="_Ref125366606"/>
            <w:bookmarkEnd w:id="53"/>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p>
            <w:pPr>
              <w:pStyle w:val="Style3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4" w:name="_Ref125366813"/>
            <w:bookmarkStart w:id="55" w:name="_Ref125366813"/>
            <w:bookmarkEnd w:id="55"/>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809" w:type="dxa"/>
            <w:tcBorders/>
          </w:tcPr>
          <w:p>
            <w:pPr>
              <w:pStyle w:val="Style32"/>
              <w:keepNext w:val="true"/>
              <w:widowControl w:val="false"/>
              <w:suppressAutoHyphens w:val="true"/>
              <w:spacing w:before="60" w:after="60"/>
              <w:rPr/>
            </w:pPr>
            <w:r>
              <w:rPr>
                <w:rFonts w:eastAsia="Calibri" w:cs=""/>
                <w:kern w:val="0"/>
                <w:sz w:val="26"/>
                <w:szCs w:val="22"/>
                <w:lang w:val="ru-RU" w:eastAsia="en-US" w:bidi="ar-SA"/>
              </w:rPr>
              <w:t>Контактное лицо (Ф.И.О.): Рубанова Ирина Валентиновна</w:t>
            </w:r>
          </w:p>
          <w:p>
            <w:pPr>
              <w:pStyle w:val="Style32"/>
              <w:keepNext w:val="true"/>
              <w:widowControl w:val="false"/>
              <w:suppressAutoHyphens w:val="true"/>
              <w:spacing w:before="60" w:after="60"/>
              <w:rPr>
                <w:rFonts w:ascii="Times New Roman" w:hAnsi="Times New Roman" w:eastAsia="Calibri" w:cs=""/>
                <w:kern w:val="0"/>
                <w:sz w:val="26"/>
                <w:szCs w:val="22"/>
                <w:lang w:eastAsia="en-US" w:bidi="ar-SA"/>
              </w:rPr>
            </w:pPr>
            <w:r>
              <w:rPr>
                <w:rFonts w:eastAsia="Calibri" w:cs=""/>
                <w:kern w:val="0"/>
                <w:sz w:val="26"/>
                <w:szCs w:val="22"/>
                <w:lang w:val="ru-RU" w:eastAsia="en-US" w:bidi="ar-SA"/>
              </w:rPr>
              <w:t>Почтовый адрес: 682460, Хабаровский край, г. Николаевск-на Амуре, ул. Невельского, д. 24</w:t>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6" w:name="_Ref125368490"/>
            <w:bookmarkStart w:id="57" w:name="_Ref125368490"/>
            <w:bookmarkEnd w:id="57"/>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3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8"/>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7" w:type="dxa"/>
            <w:tcBorders/>
          </w:tcPr>
          <w:p>
            <w:pPr>
              <w:pStyle w:val="Style32"/>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809"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pStyle w:val="Style26"/>
        <w:rPr/>
      </w:pPr>
      <w:bookmarkStart w:id="58" w:name="_Toc228877673"/>
      <w:bookmarkStart w:id="59" w:name="_Ref125360337"/>
      <w:bookmarkStart w:id="60" w:name="_Ref125360073"/>
      <w:r>
        <w:rPr/>
        <w:t>Общие положения</w:t>
      </w:r>
      <w:bookmarkEnd w:id="58"/>
      <w:bookmarkEnd w:id="59"/>
      <w:bookmarkEnd w:id="60"/>
    </w:p>
    <w:p>
      <w:pPr>
        <w:pStyle w:val="Style27"/>
        <w:rPr/>
      </w:pPr>
      <w:bookmarkStart w:id="61" w:name="_Toc228877674"/>
      <w:r>
        <w:rPr/>
        <w:t>Общие сведения о закупке</w:t>
      </w:r>
      <w:bookmarkEnd w:id="61"/>
    </w:p>
    <w:p>
      <w:pPr>
        <w:pStyle w:val="Style28"/>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8"/>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8"/>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1"/>
          </w:rPr>
          <w:t>Технических требованиях (Приложение № 1)</w:t>
        </w:r>
      </w:hyperlink>
      <w:r>
        <w:rPr/>
        <w:t xml:space="preserve">. </w:t>
      </w:r>
      <w:hyperlink w:anchor="Прил02_ПроектДоговора">
        <w:r>
          <w:rPr>
            <w:rStyle w:val="Style11"/>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1"/>
          </w:rPr>
          <w:t>Приложении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Структуре НМЦ (в составе Коммерческого предложения (форма 3) (</w:t>
      </w:r>
      <w:hyperlink w:anchor="Прил04_ФормыЗаявки">
        <w:r>
          <w:rPr>
            <w:rStyle w:val="Style11"/>
          </w:rPr>
          <w:t>Приложение № 4</w:t>
        </w:r>
      </w:hyperlink>
      <w:r>
        <w:rPr/>
        <w:t>)).</w:t>
      </w:r>
    </w:p>
    <w:p>
      <w:pPr>
        <w:pStyle w:val="Style28"/>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1"/>
          </w:rPr>
          <w:t>№ 4</w:t>
        </w:r>
      </w:hyperlink>
      <w:r>
        <w:rPr/>
        <w:t xml:space="preserve">, </w:t>
      </w:r>
      <w:hyperlink w:anchor="Прил05_ФормыПобедителя">
        <w:r>
          <w:rPr>
            <w:rStyle w:val="Style11"/>
          </w:rPr>
          <w:t>№ 5</w:t>
        </w:r>
      </w:hyperlink>
      <w:r>
        <w:rPr/>
        <w:t>.</w:t>
      </w:r>
    </w:p>
    <w:p>
      <w:pPr>
        <w:pStyle w:val="Style27"/>
        <w:rPr/>
      </w:pPr>
      <w:bookmarkStart w:id="62" w:name="_Toc228877675"/>
      <w:r>
        <w:rPr/>
        <w:t>Правовой статус документов</w:t>
      </w:r>
      <w:bookmarkEnd w:id="62"/>
    </w:p>
    <w:p>
      <w:pPr>
        <w:pStyle w:val="Style28"/>
        <w:rPr/>
      </w:pPr>
      <w:r>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8"/>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8"/>
        <w:keepNext w:val="true"/>
        <w:rPr/>
      </w:pPr>
      <w:bookmarkStart w:id="63"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5.2.9</w:t>
      </w:r>
      <w:r>
        <w:rPr/>
        <w:fldChar w:fldCharType="end"/>
      </w:r>
      <w:bookmarkEnd w:id="63"/>
      <w:r>
        <w:rPr/>
        <w:t>.</w:t>
      </w:r>
    </w:p>
    <w:p>
      <w:pPr>
        <w:pStyle w:val="Style28"/>
        <w:rPr/>
      </w:pPr>
      <w:r>
        <w:rPr/>
        <w:t>Заключенный по результатам закупки Договор, в том числе, фиксирует все достигнутые сторонами договоренности.</w:t>
      </w:r>
    </w:p>
    <w:p>
      <w:pPr>
        <w:pStyle w:val="Style28"/>
        <w:rPr/>
      </w:pPr>
      <w:r>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8"/>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8"/>
        <w:rPr/>
      </w:pPr>
      <w:r>
        <w:rPr/>
        <w:t>Иные документы Организатора и Участников не определяют права и обязанности сторон в связи с данной закупкой.</w:t>
      </w:r>
    </w:p>
    <w:p>
      <w:pPr>
        <w:pStyle w:val="Style28"/>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7"/>
        <w:rPr/>
      </w:pPr>
      <w:bookmarkStart w:id="64" w:name="_Toc228877676"/>
      <w:bookmarkStart w:id="65" w:name="_Ref125363536"/>
      <w:r>
        <w:rPr/>
        <w:t>Обжалование</w:t>
      </w:r>
      <w:bookmarkEnd w:id="64"/>
      <w:bookmarkEnd w:id="65"/>
    </w:p>
    <w:p>
      <w:pPr>
        <w:pStyle w:val="Style28"/>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8"/>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8"/>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9"/>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9"/>
        <w:rPr/>
      </w:pPr>
      <w:r>
        <w:rPr/>
        <w:t>признать заявление Участника необоснованным.</w:t>
      </w:r>
    </w:p>
    <w:p>
      <w:pPr>
        <w:pStyle w:val="Style28"/>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8"/>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9"/>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9"/>
        <w:rPr/>
      </w:pPr>
      <w:r>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w:t>
      </w:r>
      <w:bookmarkStart w:id="66" w:name="_Hlk219301278"/>
      <w:bookmarkStart w:id="67" w:name="_Hlk219296876"/>
      <w:r>
        <w:rPr/>
        <w:t>Красноярского края</w:t>
      </w:r>
      <w:bookmarkEnd w:id="66"/>
      <w:bookmarkEnd w:id="67"/>
      <w:r>
        <w:rPr/>
        <w:t>.</w:t>
      </w:r>
    </w:p>
    <w:p>
      <w:pPr>
        <w:pStyle w:val="Style32"/>
        <w:ind w:left="1134" w:hanging="0"/>
        <w:rPr/>
      </w:pPr>
      <w:r>
        <w:rPr/>
        <w:t>Закупочная комиссия определяется в соответствии с Положением о закупке.</w:t>
      </w:r>
    </w:p>
    <w:p>
      <w:pPr>
        <w:pStyle w:val="Style27"/>
        <w:rPr/>
      </w:pPr>
      <w:bookmarkStart w:id="68" w:name="_Toc228877677"/>
      <w:r>
        <w:rPr/>
        <w:t>Особые положения при проведении закупки с использованием ЭП</w:t>
      </w:r>
      <w:bookmarkEnd w:id="68"/>
    </w:p>
    <w:p>
      <w:pPr>
        <w:pStyle w:val="Style28"/>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8"/>
        <w:rPr/>
      </w:pPr>
      <w:r>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8"/>
        <w:rPr/>
      </w:pPr>
      <w:r>
        <w:rPr/>
        <w:t>Правила проведения закупки в том числе определяются Регламентом ЭП.</w:t>
      </w:r>
    </w:p>
    <w:p>
      <w:pPr>
        <w:pStyle w:val="Style28"/>
        <w:rPr/>
      </w:pPr>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8"/>
        <w:rPr/>
      </w:pPr>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7"/>
        <w:rPr/>
      </w:pPr>
      <w:bookmarkStart w:id="69" w:name="_Toc228877678"/>
      <w:r>
        <w:rPr/>
        <w:t>Прочие положения</w:t>
      </w:r>
      <w:bookmarkEnd w:id="69"/>
    </w:p>
    <w:p>
      <w:pPr>
        <w:pStyle w:val="Style28"/>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8"/>
        <w:rPr/>
      </w:pPr>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8"/>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6"/>
        <w:rPr/>
      </w:pPr>
      <w:bookmarkStart w:id="70" w:name="_Toc228877679"/>
      <w:bookmarkStart w:id="71" w:name="_Ref125361210"/>
      <w:r>
        <w:rPr/>
        <w:t>Требования к Участникам</w:t>
      </w:r>
      <w:bookmarkEnd w:id="70"/>
      <w:bookmarkEnd w:id="71"/>
    </w:p>
    <w:p>
      <w:pPr>
        <w:pStyle w:val="Style27"/>
        <w:rPr/>
      </w:pPr>
      <w:bookmarkStart w:id="72" w:name="_Toc228877680"/>
      <w:bookmarkStart w:id="73" w:name="_Ref127524530"/>
      <w:r>
        <w:rPr/>
        <w:t>Общие требования к Участникам</w:t>
      </w:r>
      <w:bookmarkEnd w:id="72"/>
      <w:bookmarkEnd w:id="73"/>
    </w:p>
    <w:p>
      <w:pPr>
        <w:pStyle w:val="Style28"/>
        <w:rPr/>
      </w:pPr>
      <w:bookmarkStart w:id="74"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w:t>
      </w:r>
      <w:bookmarkEnd w:id="74"/>
    </w:p>
    <w:p>
      <w:pPr>
        <w:pStyle w:val="Style28"/>
        <w:rPr/>
      </w:pPr>
      <w:r>
        <w:rPr/>
        <w:t>Однако, чтобы претендовать на победу в закупке Участник должен отвечать требованиям, установленным в Документации о закупке.</w:t>
      </w:r>
    </w:p>
    <w:p>
      <w:pPr>
        <w:pStyle w:val="Style28"/>
        <w:rPr/>
      </w:pPr>
      <w:r>
        <w:rPr/>
        <w:t xml:space="preserve">Требования к Участникам установлены с учетом предмета договора, </w:t>
      </w:r>
      <w:hyperlink w:anchor="Прил01_ТехТребования">
        <w:r>
          <w:rPr>
            <w:rStyle w:val="Style11"/>
          </w:rPr>
          <w:t>Технических требований (Приложение № 1)</w:t>
        </w:r>
      </w:hyperlink>
      <w:r>
        <w:rPr/>
        <w:t xml:space="preserve"> и </w:t>
      </w:r>
      <w:hyperlink w:anchor="Прил02_ПроектДоговора">
        <w:r>
          <w:rPr>
            <w:rStyle w:val="Style11"/>
          </w:rPr>
          <w:t>Проекта договора (Приложение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Структуре НМЦ (в составе Коммерческого предложения (форма 3) (</w:t>
      </w:r>
      <w:hyperlink w:anchor="Прил04_ФормыЗаявки">
        <w:r>
          <w:rPr>
            <w:rStyle w:val="Style11"/>
          </w:rPr>
          <w:t>Приложение № 4</w:t>
        </w:r>
      </w:hyperlink>
      <w:r>
        <w:rPr/>
        <w:t>)).</w:t>
      </w:r>
    </w:p>
    <w:p>
      <w:pPr>
        <w:pStyle w:val="Style28"/>
        <w:keepNext w:val="true"/>
        <w:rPr/>
      </w:pPr>
      <w:r>
        <w:rPr/>
        <w:t>Установлены следующие требования к Участникам, которые приведены в </w:t>
      </w:r>
      <w:hyperlink w:anchor="Прил03_ТребованияУчастникам">
        <w:r>
          <w:rPr>
            <w:rStyle w:val="Style11"/>
          </w:rPr>
          <w:t>Приложении № 3</w:t>
        </w:r>
      </w:hyperlink>
      <w:r>
        <w:rPr/>
        <w:t>:</w:t>
      </w:r>
    </w:p>
    <w:p>
      <w:pPr>
        <w:pStyle w:val="Style29"/>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9"/>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8"/>
        <w:keepNext w:val="true"/>
        <w:rPr/>
      </w:pPr>
      <w:r>
        <w:rPr/>
        <w:t>В рамках требований к Участникам могут быть установлены дополнительные требования к Генеральным подрядчикам (подраздел </w:t>
      </w:r>
      <w:r>
        <w:rPr/>
        <w:fldChar w:fldCharType="begin"/>
      </w:r>
      <w:r>
        <w:rPr/>
        <w:instrText xml:space="preserve"> REF _Ref125361702 \r \h </w:instrText>
      </w:r>
      <w:r>
        <w:rPr/>
        <w:fldChar w:fldCharType="separate"/>
      </w:r>
      <w:r>
        <w:rPr/>
        <w:t>3.2</w:t>
      </w:r>
      <w:r>
        <w:rPr/>
        <w:fldChar w:fldCharType="end"/>
      </w:r>
      <w:r>
        <w:rPr/>
        <w:t>).</w:t>
      </w:r>
    </w:p>
    <w:p>
      <w:pPr>
        <w:pStyle w:val="Style28"/>
        <w:rPr/>
      </w:pPr>
      <w:bookmarkStart w:id="75" w:name="_Ref125361976"/>
      <w:bookmarkStart w:id="76" w:name="_Ref125361969"/>
      <w:bookmarkEnd w:id="75"/>
      <w:bookmarkEnd w:id="76"/>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1"/>
          </w:rPr>
          <w:t>Требованиях к Участникам (Приложение № 3)</w:t>
        </w:r>
      </w:hyperlink>
      <w:r>
        <w:rPr/>
        <w:t xml:space="preserve">, </w:t>
      </w:r>
      <w:bookmarkStart w:id="77" w:name="_Hlk132706049"/>
      <w:r>
        <w:rPr/>
        <w:t>если иное не установлено в Документации о закупке</w:t>
      </w:r>
      <w:bookmarkEnd w:id="77"/>
      <w:r>
        <w:rPr/>
        <w:t>.</w:t>
      </w:r>
    </w:p>
    <w:p>
      <w:pPr>
        <w:pStyle w:val="Style27"/>
        <w:rPr/>
      </w:pPr>
      <w:bookmarkStart w:id="78" w:name="_Toc228877681"/>
      <w:bookmarkStart w:id="79" w:name="_Ref125361702"/>
      <w:bookmarkStart w:id="80" w:name="_Ref125361976_Копия_1"/>
      <w:bookmarkStart w:id="81" w:name="_Ref125361969_Копия_1"/>
      <w:bookmarkStart w:id="82" w:name="_Toc224743786"/>
      <w:bookmarkStart w:id="83" w:name="_Toc224743781"/>
      <w:bookmarkStart w:id="84" w:name="_Toc224743782"/>
      <w:bookmarkStart w:id="85" w:name="_Toc224743783"/>
      <w:bookmarkStart w:id="86" w:name="_Toc224743784"/>
      <w:bookmarkStart w:id="87" w:name="_Toc224743785"/>
      <w:bookmarkStart w:id="88" w:name="_Toc224743787"/>
      <w:bookmarkStart w:id="89" w:name="_Toc224743788"/>
      <w:bookmarkStart w:id="90" w:name="_Toc224743789"/>
      <w:bookmarkStart w:id="91" w:name="_Toc224743790"/>
      <w:bookmarkStart w:id="92" w:name="_Toc224743791"/>
      <w:bookmarkStart w:id="93" w:name="_Toc224743793"/>
      <w:bookmarkStart w:id="94" w:name="_Toc224743792"/>
      <w:bookmarkStart w:id="95" w:name="_Toc224743801"/>
      <w:bookmarkStart w:id="96" w:name="_Toc224743800"/>
      <w:bookmarkStart w:id="97" w:name="_Toc224743799"/>
      <w:bookmarkStart w:id="98" w:name="_Toc224743798"/>
      <w:bookmarkStart w:id="99" w:name="_Toc224743797"/>
      <w:bookmarkStart w:id="100" w:name="_Toc224743796"/>
      <w:bookmarkStart w:id="101" w:name="_Toc224743795"/>
      <w:bookmarkStart w:id="102" w:name="_Toc22474379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t>Генеральные подрядчики</w:t>
      </w:r>
      <w:bookmarkEnd w:id="78"/>
      <w:bookmarkEnd w:id="79"/>
    </w:p>
    <w:p>
      <w:pPr>
        <w:pStyle w:val="Style28"/>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предусмотрены рассмотрение и оценка заявок Участников с учетом привлекаемых субподрядчиков.</w:t>
      </w:r>
    </w:p>
    <w:p>
      <w:pPr>
        <w:pStyle w:val="Style28"/>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8.4</w:t>
      </w:r>
      <w:r>
        <w:rPr/>
        <w:fldChar w:fldCharType="end"/>
      </w:r>
      <w:r>
        <w:rPr/>
        <w:t xml:space="preserve"> </w:t>
      </w:r>
      <w:hyperlink w:anchor="Прил03_ТребованияУчастникам">
        <w:r>
          <w:rPr>
            <w:rStyle w:val="Style11"/>
          </w:rPr>
          <w:t>Требований к Участникам (Приложение № 3)</w:t>
        </w:r>
      </w:hyperlink>
      <w:r>
        <w:rPr/>
        <w:t>.</w:t>
      </w:r>
    </w:p>
    <w:p>
      <w:pPr>
        <w:pStyle w:val="Style28"/>
        <w:keepNext w:val="true"/>
        <w:rPr/>
      </w:pPr>
      <w:r>
        <w:rPr/>
        <w:t>Генеральный подрядчик:</w:t>
      </w:r>
    </w:p>
    <w:p>
      <w:pPr>
        <w:pStyle w:val="Style29"/>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9"/>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9"/>
        <w:rPr/>
      </w:pPr>
      <w:r>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w:t>
      </w:r>
    </w:p>
    <w:p>
      <w:pPr>
        <w:pStyle w:val="Style28"/>
        <w:keepNext w:val="true"/>
        <w:rPr/>
      </w:pPr>
      <w:r>
        <w:rPr/>
        <w:t>Каждый субподрядчик из привлекаемых Генеральным подрядчиком должен отвечать:</w:t>
      </w:r>
    </w:p>
    <w:p>
      <w:pPr>
        <w:pStyle w:val="Style29"/>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9"/>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32"/>
        <w:ind w:left="1134" w:hanging="0"/>
        <w:rPr/>
      </w:pPr>
      <w:bookmarkStart w:id="103" w:name="_Ref125368863"/>
      <w:r>
        <w:rPr/>
        <w:t xml:space="preserve">При этом соответствовать специальным требованиям субподрядчик должен только в части объема поставки продукции, который ему </w:t>
      </w:r>
      <w:bookmarkEnd w:id="103"/>
      <w:r>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w:t>
      </w:r>
    </w:p>
    <w:p>
      <w:pPr>
        <w:pStyle w:val="Style28"/>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1"/>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8"/>
        <w:rPr/>
      </w:pPr>
      <w:bookmarkStart w:id="104"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 участием таких лиц будут отклонены.</w:t>
      </w:r>
      <w:bookmarkEnd w:id="104"/>
    </w:p>
    <w:p>
      <w:pPr>
        <w:sectPr>
          <w:headerReference w:type="default" r:id="rId2"/>
          <w:footerReference w:type="default" r:id="rId3"/>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8"/>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8.4</w:t>
      </w:r>
      <w:r>
        <w:rPr/>
        <w:fldChar w:fldCharType="end"/>
      </w:r>
      <w:r>
        <w:rPr/>
        <w:t xml:space="preserve"> </w:t>
      </w:r>
      <w:hyperlink w:anchor="Прил03_ТребованияУчастникам">
        <w:r>
          <w:rPr>
            <w:rStyle w:val="Style11"/>
          </w:rPr>
          <w:t>Требований к Участникам (Приложение № 3)</w:t>
        </w:r>
      </w:hyperlink>
      <w:r>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6"/>
        <w:rPr/>
      </w:pPr>
      <w:bookmarkStart w:id="105" w:name="_Toc228877682"/>
      <w:bookmarkStart w:id="106" w:name="_Ref125361211"/>
      <w:bookmarkStart w:id="107" w:name="_Ref125367098"/>
      <w:bookmarkStart w:id="108" w:name="_Ref125367107"/>
      <w:bookmarkStart w:id="109" w:name="_Ref125367974"/>
      <w:r>
        <w:rPr/>
        <w:t>Порядок проведения закупки</w:t>
      </w:r>
      <w:bookmarkEnd w:id="105"/>
      <w:bookmarkEnd w:id="106"/>
      <w:bookmarkEnd w:id="107"/>
      <w:bookmarkEnd w:id="108"/>
      <w:bookmarkEnd w:id="109"/>
    </w:p>
    <w:p>
      <w:pPr>
        <w:pStyle w:val="Style27"/>
        <w:rPr/>
      </w:pPr>
      <w:bookmarkStart w:id="110" w:name="_Toc228877683"/>
      <w:bookmarkStart w:id="111" w:name="_Ref126141932"/>
      <w:r>
        <w:rPr/>
        <w:t>Общий порядок проведения закупки</w:t>
      </w:r>
      <w:bookmarkEnd w:id="110"/>
      <w:bookmarkEnd w:id="111"/>
    </w:p>
    <w:p>
      <w:pPr>
        <w:pStyle w:val="Style28"/>
        <w:keepNext w:val="true"/>
        <w:spacing w:before="120" w:after="120"/>
        <w:rPr/>
      </w:pPr>
      <w:r>
        <w:rPr/>
        <w:t>Закупка проводится в следующем порядке:</w:t>
      </w:r>
    </w:p>
    <w:tbl>
      <w:tblPr>
        <w:tblStyle w:val="af9"/>
        <w:tblW w:w="14007" w:type="dxa"/>
        <w:jc w:val="left"/>
        <w:tblInd w:w="1129" w:type="dxa"/>
        <w:tblLayout w:type="fixed"/>
        <w:tblCellMar>
          <w:top w:w="0" w:type="dxa"/>
          <w:left w:w="0" w:type="dxa"/>
          <w:bottom w:w="0" w:type="dxa"/>
          <w:right w:w="5" w:type="dxa"/>
        </w:tblCellMar>
        <w:tblLook w:val="04a0" w:noHBand="0" w:noVBand="1" w:firstColumn="1" w:lastRow="0" w:lastColumn="0" w:firstRow="1"/>
      </w:tblPr>
      <w:tblGrid>
        <w:gridCol w:w="372"/>
        <w:gridCol w:w="2042"/>
        <w:gridCol w:w="1166"/>
        <w:gridCol w:w="3228"/>
        <w:gridCol w:w="2694"/>
        <w:gridCol w:w="2269"/>
        <w:gridCol w:w="2235"/>
      </w:tblGrid>
      <w:tr>
        <w:trPr>
          <w:cnfStyle w:val="100000000000" w:firstRow="1" w:lastRow="0" w:firstColumn="0" w:lastColumn="0" w:oddVBand="0" w:evenVBand="0" w:oddHBand="0" w:evenHBand="0" w:firstRowFirstColumn="0" w:firstRowLastColumn="0" w:lastRowFirstColumn="0" w:lastRowLastColumn="0"/>
        </w:trPr>
        <w:tc>
          <w:tcPr>
            <w:tcW w:w="372" w:type="dxa"/>
            <w:tcBorders>
              <w:left w:val="nil"/>
            </w:tcBorders>
            <w:vAlign w:val="bottom"/>
          </w:tcPr>
          <w:p>
            <w:pPr>
              <w:pStyle w:val="Style32"/>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634" w:type="dxa"/>
            <w:gridSpan w:val="6"/>
            <w:tcBorders>
              <w:right w:val="nil"/>
            </w:tcBorders>
          </w:tcPr>
          <w:p>
            <w:pPr>
              <w:pStyle w:val="Style32"/>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372" w:type="dxa"/>
            <w:tcBorders>
              <w:left w:val="nil"/>
            </w:tcBorders>
            <w:vAlign w:val="bottom"/>
          </w:tcPr>
          <w:p>
            <w:pPr>
              <w:pStyle w:val="Style32"/>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_Ref130394205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9" w:type="dxa"/>
            <w:vMerge w:val="restart"/>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_Ref132816134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32"/>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694" w:type="dxa"/>
            <w:vMerge w:val="continue"/>
            <w:tcBorders/>
          </w:tcPr>
          <w:p>
            <w:pPr>
              <w:pStyle w:val="Style32"/>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32"/>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32"/>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32"/>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99" w:type="dxa"/>
            <w:gridSpan w:val="5"/>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первым частям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_Ref132816188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5" w:type="dxa"/>
            <w:tcBorders>
              <w:bottom w:val="nil"/>
              <w:right w:val="nil"/>
            </w:tcBorders>
          </w:tcPr>
          <w:p>
            <w:pPr>
              <w:pStyle w:val="Style32"/>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32"/>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vAlign w:val="center"/>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первых частей заявок (отборочная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p>
            <w:pPr>
              <w:pStyle w:val="Style32"/>
              <w:widowControl w:val="false"/>
              <w:suppressAutoHyphens w:val="true"/>
              <w:spacing w:before="40" w:after="40"/>
              <w:jc w:val="center"/>
              <w:rPr>
                <w:bCs/>
                <w:sz w:val="24"/>
                <w:szCs w:val="24"/>
              </w:rPr>
            </w:pPr>
            <w:r>
              <w:rPr>
                <w:bCs/>
                <w:sz w:val="24"/>
                <w:szCs w:val="24"/>
              </w:rPr>
            </w:r>
          </w:p>
        </w:tc>
        <w:tc>
          <w:tcPr>
            <w:tcW w:w="2694" w:type="dxa"/>
            <w:vMerge w:val="restart"/>
            <w:tcBorders/>
            <w:vAlign w:val="center"/>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restart"/>
            <w:tcBorders>
              <w:top w:val="nil"/>
            </w:tcBorders>
            <w:vAlign w:val="center"/>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_Ref132816141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32"/>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ко вторым частям заявок</w:t>
              <w:br/>
              <w:t>и ценовым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_Ref132801184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32"/>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32"/>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32"/>
              <w:widowControl w:val="false"/>
              <w:suppressAutoHyphens w:val="true"/>
              <w:spacing w:before="40" w:after="40"/>
              <w:jc w:val="center"/>
              <w:rPr>
                <w:bCs/>
                <w:sz w:val="24"/>
                <w:szCs w:val="24"/>
              </w:rPr>
            </w:pPr>
            <w:r>
              <w:rPr>
                <w:bCs/>
                <w:sz w:val="24"/>
                <w:szCs w:val="24"/>
              </w:rPr>
            </w:r>
          </w:p>
        </w:tc>
      </w:tr>
      <w:tr>
        <w:trPr>
          <w:trHeight w:val="2376" w:hRule="atLeast"/>
        </w:trPr>
        <w:tc>
          <w:tcPr>
            <w:tcW w:w="372" w:type="dxa"/>
            <w:tcBorders>
              <w:left w:val="nil"/>
            </w:tcBorders>
            <w:vAlign w:val="bottom"/>
          </w:tcPr>
          <w:p>
            <w:pPr>
              <w:pStyle w:val="Style32"/>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08" w:type="dxa"/>
            <w:gridSpan w:val="2"/>
            <w:tcBorders>
              <w:right w:val="single" w:sz="4" w:space="0" w:color="000000"/>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_Ref132797154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28" w:type="dxa"/>
            <w:tcBorders>
              <w:left w:val="single" w:sz="4" w:space="0" w:color="000000"/>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w:t>
            </w:r>
            <w:r>
              <w:rPr>
                <w:rFonts w:eastAsia="Calibri" w:cs=""/>
                <w:bCs/>
                <w:kern w:val="0"/>
                <w:sz w:val="24"/>
                <w:szCs w:val="24"/>
                <w:u w:val="single"/>
                <w:lang w:val="ru-RU" w:eastAsia="en-US" w:bidi="ar-SA"/>
              </w:rPr>
              <w:t>предоставление национального режима / запрета, ограничения</w:t>
            </w:r>
            <w:r>
              <w:rPr>
                <w:rFonts w:eastAsia="Calibri" w:cs=""/>
                <w:bCs/>
                <w:kern w:val="0"/>
                <w:sz w:val="24"/>
                <w:szCs w:val="24"/>
                <w:lang w:val="ru-RU" w:eastAsia="en-US" w:bidi="ar-SA"/>
              </w:rPr>
              <w:t>)</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_Ref186219943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32"/>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32"/>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32"/>
              <w:widowControl w:val="false"/>
              <w:suppressAutoHyphens w:val="true"/>
              <w:spacing w:before="40" w:after="40"/>
              <w:jc w:val="center"/>
              <w:rPr>
                <w:bCs/>
                <w:sz w:val="24"/>
                <w:szCs w:val="24"/>
              </w:rPr>
            </w:pPr>
            <w:r>
              <w:rPr>
                <w:bCs/>
                <w:sz w:val="24"/>
                <w:szCs w:val="24"/>
              </w:rPr>
            </w:r>
          </w:p>
        </w:tc>
      </w:tr>
      <w:tr>
        <w:trPr>
          <w:trHeight w:val="627" w:hRule="atLeast"/>
        </w:trPr>
        <w:tc>
          <w:tcPr>
            <w:tcW w:w="372" w:type="dxa"/>
            <w:tcBorders>
              <w:left w:val="nil"/>
            </w:tcBorders>
            <w:vAlign w:val="bottom"/>
          </w:tcPr>
          <w:p>
            <w:pPr>
              <w:pStyle w:val="Style32"/>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vAlign w:val="center"/>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32"/>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32"/>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32"/>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32"/>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32"/>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32"/>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32"/>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sym w:font="Wingdings 3" w:char="f0d4"/>
            </w:r>
          </w:p>
        </w:tc>
        <w:tc>
          <w:tcPr>
            <w:tcW w:w="6436" w:type="dxa"/>
            <w:gridSpan w:val="3"/>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_Ref138341423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p>
            <w:pPr>
              <w:pStyle w:val="Style32"/>
              <w:widowControl w:val="false"/>
              <w:suppressAutoHyphens w:val="true"/>
              <w:spacing w:before="40" w:after="40"/>
              <w:jc w:val="center"/>
              <w:rPr>
                <w:bCs/>
                <w:sz w:val="24"/>
                <w:szCs w:val="24"/>
              </w:rPr>
            </w:pPr>
            <w:r>
              <w:rPr>
                <w:bCs/>
                <w:sz w:val="24"/>
                <w:szCs w:val="24"/>
              </w:rPr>
            </w:r>
          </w:p>
        </w:tc>
        <w:tc>
          <w:tcPr>
            <w:tcW w:w="7198" w:type="dxa"/>
            <w:gridSpan w:val="3"/>
            <w:tcBorders>
              <w:right w:val="nil"/>
            </w:tcBorders>
          </w:tcPr>
          <w:p>
            <w:pPr>
              <w:pStyle w:val="Style32"/>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 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4"/>
          <w:headerReference w:type="first" r:id="rId5"/>
          <w:footerReference w:type="default" r:id="rId6"/>
          <w:footerReference w:type="first" r:id="rId7"/>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7"/>
        <w:rPr/>
      </w:pPr>
      <w:bookmarkStart w:id="112" w:name="_Toc228877684"/>
      <w:bookmarkStart w:id="113" w:name="_Ref130286532"/>
      <w:r>
        <w:rPr/>
        <w:t>Официальное размещение Извещения и Документации о закупке</w:t>
      </w:r>
      <w:bookmarkEnd w:id="112"/>
      <w:bookmarkEnd w:id="113"/>
    </w:p>
    <w:p>
      <w:pPr>
        <w:pStyle w:val="Style28"/>
        <w:rPr/>
      </w:pPr>
      <w:r>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8"/>
        <w:rPr/>
      </w:pPr>
      <w:r>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8"/>
        <w:rPr/>
      </w:pPr>
      <w:bookmarkStart w:id="114" w:name="_Ref125362785"/>
      <w:r>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14"/>
    </w:p>
    <w:p>
      <w:pPr>
        <w:pStyle w:val="Style28"/>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7"/>
        <w:rPr/>
      </w:pPr>
      <w:bookmarkStart w:id="115" w:name="_Toc228877685"/>
      <w:bookmarkStart w:id="116" w:name="_Ref130394681"/>
      <w:bookmarkStart w:id="117" w:name="_Ref130281199"/>
      <w:r>
        <w:rPr/>
        <w:t>Подготовка заявки</w:t>
      </w:r>
      <w:bookmarkEnd w:id="115"/>
      <w:bookmarkEnd w:id="116"/>
      <w:bookmarkEnd w:id="117"/>
    </w:p>
    <w:p>
      <w:pPr>
        <w:pStyle w:val="Style28"/>
        <w:rPr/>
      </w:pPr>
      <w:r>
        <w:rPr/>
        <w:t>Участник должен подготовить заявку с учетом требований Документации о закупке.</w:t>
      </w:r>
    </w:p>
    <w:p>
      <w:pPr>
        <w:pStyle w:val="Style28"/>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8"/>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1"/>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1"/>
          </w:rPr>
          <w:t>Приложение № 4</w:t>
        </w:r>
      </w:hyperlink>
      <w:r>
        <w:rPr/>
        <w:t>.</w:t>
      </w:r>
    </w:p>
    <w:p>
      <w:pPr>
        <w:pStyle w:val="Style28"/>
        <w:rPr/>
      </w:pPr>
      <w:r>
        <w:rPr/>
        <w:t xml:space="preserve">Непосредственно перед подачей заявки Участник должен разделить подготовленные документы на отдельные части: </w:t>
      </w:r>
      <w:bookmarkStart w:id="118" w:name="_Hlk132886098"/>
      <w:r>
        <w:rPr/>
        <w:t>первую часть, вторую часть и ценовое предложение</w:t>
      </w:r>
      <w:bookmarkEnd w:id="118"/>
      <w:r>
        <w:rPr/>
        <w:t xml:space="preserve"> в соответствии с перечнем документов, входящих в каждую из частей, определенному </w:t>
      </w:r>
      <w:hyperlink w:anchor="Прил06_СоставЗаявки">
        <w:r>
          <w:rPr>
            <w:rStyle w:val="Style11"/>
          </w:rPr>
          <w:t>Приложением № 6 – Состав заявки</w:t>
        </w:r>
      </w:hyperlink>
      <w:r>
        <w:rPr/>
        <w:t>.</w:t>
      </w:r>
    </w:p>
    <w:p>
      <w:pPr>
        <w:pStyle w:val="Style28"/>
        <w:rPr/>
      </w:pPr>
      <w:r>
        <w:rPr>
          <w:shd w:fill="FFFF99" w:val="clear"/>
        </w:rPr>
        <w:t>В первую часть заявки</w:t>
      </w:r>
      <w:r>
        <w:rPr/>
        <w:t xml:space="preserve"> должны входить документы, содержащие исключительно описание предлагаемой к поставке продукции, которая является предметом настоящей закупки </w:t>
      </w:r>
      <w:r>
        <w:rPr>
          <w:shd w:fill="FFFF99" w:val="clear"/>
        </w:rPr>
        <w:t>(без указания сведений об Участнике и (или) о его ценовом предложении),</w:t>
      </w:r>
      <w:r>
        <w:rPr/>
        <w:t xml:space="preserve">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r>
          <w:rPr>
            <w:rStyle w:val="Style11"/>
          </w:rPr>
          <w:t>Порядке и критериях оценки и сопоставления заявок (Приложение № 8)</w:t>
        </w:r>
      </w:hyperlink>
      <w:r>
        <w:rPr/>
        <w:t>).</w:t>
      </w:r>
    </w:p>
    <w:p>
      <w:pPr>
        <w:pStyle w:val="Style28"/>
        <w:rPr/>
      </w:pPr>
      <w:r>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r>
          <w:rPr>
            <w:rStyle w:val="Style11"/>
          </w:rPr>
          <w:t>Порядке и критериях оценки и сопоставления заявок (Приложение № 8)</w:t>
        </w:r>
      </w:hyperlink>
      <w:r>
        <w:rPr/>
        <w:t>).</w:t>
      </w:r>
    </w:p>
    <w:p>
      <w:pPr>
        <w:pStyle w:val="Style28"/>
        <w:rPr/>
      </w:pPr>
      <w:r>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8"/>
        <w:rPr/>
      </w:pPr>
      <w:r>
        <w:rPr/>
        <w:t>В случае обнаружения в первой части заявки сведений об Участнике и (или) его ценовом предложении, такая заявка подлежит отклонению.</w:t>
      </w:r>
    </w:p>
    <w:p>
      <w:pPr>
        <w:pStyle w:val="Style28"/>
        <w:rPr/>
      </w:pPr>
      <w:bookmarkStart w:id="119" w:name="_Ref125365866"/>
      <w:bookmarkStart w:id="120" w:name="_Ref130394854"/>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заявки на часть лота и (или) при получении двух и более заявок от одного Участника в рамках одного лота) все поданные им заявки подлежат отклонению.</w:t>
      </w:r>
      <w:bookmarkEnd w:id="119"/>
      <w:bookmarkEnd w:id="120"/>
    </w:p>
    <w:p>
      <w:pPr>
        <w:pStyle w:val="Style28"/>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1"/>
          </w:rPr>
          <w:t>Приложение № 4</w:t>
        </w:r>
      </w:hyperlink>
      <w:r>
        <w:rPr/>
        <w:t>) может служить основанием для отклонения заявки.</w:t>
      </w:r>
    </w:p>
    <w:p>
      <w:pPr>
        <w:pStyle w:val="Style28"/>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8"/>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8"/>
        <w:rPr/>
      </w:pPr>
      <w:bookmarkStart w:id="121" w:name="_Ref125370708"/>
      <w:bookmarkStart w:id="122" w:name="_Ref125370700"/>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8"/>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1"/>
          </w:rPr>
          <w:t>Техническими требованиями (Приложение № 1)</w:t>
        </w:r>
      </w:hyperlink>
      <w:r>
        <w:rPr/>
        <w:t xml:space="preserve"> и </w:t>
      </w:r>
      <w:hyperlink w:anchor="Прил02_ПроектДоговора">
        <w:r>
          <w:rPr>
            <w:rStyle w:val="Style11"/>
          </w:rPr>
          <w:t>Проектом договора (Приложение № 2)</w:t>
        </w:r>
      </w:hyperlink>
      <w:r>
        <w:rPr/>
        <w:t>, а также сумму налогов (</w:t>
      </w:r>
      <w:r>
        <w:rPr>
          <w:rFonts w:cs="Times New Roman"/>
        </w:rPr>
        <w:t>за исключением НДС, в случае его уплаты)</w:t>
      </w:r>
      <w:r>
        <w:rP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21"/>
      <w:bookmarkEnd w:id="122"/>
    </w:p>
    <w:p>
      <w:pPr>
        <w:pStyle w:val="Style28"/>
        <w:rPr/>
      </w:pPr>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1"/>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1"/>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8"/>
        <w:keepNext w:val="true"/>
        <w:rPr/>
      </w:pPr>
      <w:r>
        <w:rPr/>
        <w:t>П</w:t>
      </w:r>
      <w:bookmarkStart w:id="123" w:name="_Ref125714384"/>
      <w:bookmarkStart w:id="124" w:name="_Ref125370398"/>
      <w:r>
        <w:rPr/>
        <w:t>ри подготовке заявки необходимо также учитывать требования в отношении применения законодательства о национальном режиме (подраздел </w:t>
      </w:r>
      <w:r>
        <w:rPr/>
        <w:fldChar w:fldCharType="begin"/>
      </w:r>
      <w:r>
        <w:rPr/>
        <w:instrText xml:space="preserve"> REF _Ref125359973 \r \h </w:instrText>
      </w:r>
      <w:r>
        <w:rPr/>
        <w:fldChar w:fldCharType="separate"/>
      </w:r>
      <w:r>
        <w:rPr/>
        <w:t>1.2</w:t>
      </w:r>
      <w:r>
        <w:rPr/>
        <w:fldChar w:fldCharType="end"/>
      </w:r>
      <w:r>
        <w:rPr/>
        <w:t>).</w:t>
      </w:r>
    </w:p>
    <w:p>
      <w:pPr>
        <w:pStyle w:val="Style28"/>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9"/>
        <w:rPr/>
      </w:pPr>
      <w:r>
        <w:rPr/>
        <w:t>внутренние противоречия между различными частями и (или) документами заявки, в том числе по тексту внутри одного документа;</w:t>
      </w:r>
    </w:p>
    <w:p>
      <w:pPr>
        <w:pStyle w:val="Style29"/>
        <w:rPr/>
      </w:pPr>
      <w:r>
        <w:rPr/>
        <w:t>противоречия между документами заявки и сведениями, указанными Участником в структурированных формах на ЭП.</w:t>
      </w:r>
      <w:bookmarkEnd w:id="123"/>
      <w:bookmarkEnd w:id="124"/>
    </w:p>
    <w:p>
      <w:pPr>
        <w:pStyle w:val="Style28"/>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9"/>
        <w:rPr/>
      </w:pPr>
      <w:r>
        <w:rPr/>
        <w:t>полномочий таких органов / лиц на оформление этих документов;</w:t>
      </w:r>
    </w:p>
    <w:p>
      <w:pPr>
        <w:pStyle w:val="Style29"/>
        <w:rPr/>
      </w:pPr>
      <w:r>
        <w:rPr/>
        <w:t>формы, объема и содержания этих документов.</w:t>
      </w:r>
    </w:p>
    <w:p>
      <w:pPr>
        <w:pStyle w:val="Style28"/>
        <w:keepNext w:val="true"/>
        <w:rPr/>
      </w:pPr>
      <w:r>
        <w:rPr/>
        <w:t>Участник должен подготовить заявку с соблюдением следующих условий:</w:t>
      </w:r>
    </w:p>
    <w:p>
      <w:pPr>
        <w:pStyle w:val="Style29"/>
        <w:rPr/>
      </w:pPr>
      <w:r>
        <w:rPr/>
        <w:t>документы заявки могут предоставляться как в графическом виде (в том числе в виде скан-копии, рекомендуемый формат: Portable Document Format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Письмо о подаче оферты, а также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Portable Document Format (*.</w:t>
      </w:r>
      <w:r>
        <w:rPr>
          <w:lang w:val="en-US"/>
        </w:rPr>
        <w:t>pdf</w:t>
      </w:r>
      <w:r>
        <w:rPr/>
        <w:t>));</w:t>
      </w:r>
    </w:p>
    <w:p>
      <w:pPr>
        <w:pStyle w:val="Style29"/>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9"/>
        <w:rPr/>
      </w:pPr>
      <w:r>
        <w:rPr/>
        <w:t>все файлы не должны иметь защиты от их открытия, изменения, копирования их содержимого или их печати;</w:t>
      </w:r>
    </w:p>
    <w:p>
      <w:pPr>
        <w:pStyle w:val="Style29"/>
        <w:rPr/>
      </w:pPr>
      <w:r>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9"/>
        <w:rPr/>
      </w:pPr>
      <w:r>
        <w:rPr/>
        <w:t>если какой-либо документ представлен в нечитаемом виде, данный документ считается непредставленным.</w:t>
      </w:r>
    </w:p>
    <w:p>
      <w:pPr>
        <w:pStyle w:val="Style28"/>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7"/>
        <w:rPr/>
      </w:pPr>
      <w:bookmarkStart w:id="125" w:name="_Ref125366672"/>
      <w:bookmarkStart w:id="126" w:name="_Ref125361260"/>
      <w:bookmarkStart w:id="127" w:name="_Ref125362071"/>
      <w:bookmarkStart w:id="128" w:name="_Toc228877686"/>
      <w:bookmarkStart w:id="129" w:name="_Ref130394802"/>
      <w:bookmarkStart w:id="130" w:name="_Ref130394785"/>
      <w:bookmarkStart w:id="131" w:name="_Ref130394205"/>
      <w:r>
        <w:rPr/>
        <w:t>Разъяснение Документации о закупке</w:t>
      </w:r>
      <w:bookmarkEnd w:id="125"/>
      <w:bookmarkEnd w:id="126"/>
      <w:bookmarkEnd w:id="127"/>
      <w:bookmarkEnd w:id="128"/>
      <w:bookmarkEnd w:id="129"/>
      <w:bookmarkEnd w:id="130"/>
      <w:bookmarkEnd w:id="131"/>
    </w:p>
    <w:p>
      <w:pPr>
        <w:pStyle w:val="Style28"/>
        <w:rPr/>
      </w:pPr>
      <w:r>
        <w:rPr/>
        <w:t>Участники вправе обратиться к Организатору за разъяснениями Документации о закупке.</w:t>
      </w:r>
    </w:p>
    <w:p>
      <w:pPr>
        <w:pStyle w:val="Style28"/>
        <w:rPr/>
      </w:pPr>
      <w:r>
        <w:rPr/>
        <w:t>Запросы подаются в соответствии с Регламентами и инструкциями Оператора ЭП, опубликованными на сайте соответствующей ЭП.</w:t>
      </w:r>
    </w:p>
    <w:p>
      <w:pPr>
        <w:pStyle w:val="Style28"/>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8"/>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8"/>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8"/>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1"/>
          </w:rPr>
          <w:t>Проекта договора (Приложения № 2)</w:t>
        </w:r>
      </w:hyperlink>
      <w:r>
        <w:rPr>
          <w:rStyle w:val="Style11"/>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8"/>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7"/>
        <w:rPr/>
      </w:pPr>
      <w:bookmarkStart w:id="132" w:name="_Ref125362076"/>
      <w:bookmarkStart w:id="133" w:name="_Ref125363891"/>
      <w:bookmarkStart w:id="134" w:name="_Ref125364404"/>
      <w:bookmarkStart w:id="135" w:name="_Toc228877687"/>
      <w:r>
        <w:rPr/>
        <w:t>Изменения Извещения и (или) Документации о закупке</w:t>
      </w:r>
      <w:bookmarkEnd w:id="132"/>
      <w:bookmarkEnd w:id="133"/>
      <w:bookmarkEnd w:id="134"/>
      <w:bookmarkEnd w:id="135"/>
    </w:p>
    <w:p>
      <w:pPr>
        <w:pStyle w:val="Style28"/>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8"/>
        <w:keepNext w:val="true"/>
        <w:rPr/>
      </w:pPr>
      <w:r>
        <w:rPr/>
        <w:t>После окончания срока подачи заявок допускается изменение только в части установленных Документацией о закупке дат:</w:t>
      </w:r>
    </w:p>
    <w:p>
      <w:pPr>
        <w:pStyle w:val="Style29"/>
        <w:rPr/>
      </w:pPr>
      <w:r>
        <w:rPr/>
        <w:t>рассмотрения первых частей заявок;</w:t>
      </w:r>
    </w:p>
    <w:p>
      <w:pPr>
        <w:pStyle w:val="Style29"/>
        <w:rPr/>
      </w:pPr>
      <w:r>
        <w:rPr/>
        <w:t>рассмотрения вторых частей заявок и ценовых предложений;</w:t>
      </w:r>
    </w:p>
    <w:p>
      <w:pPr>
        <w:pStyle w:val="Style29"/>
        <w:rPr/>
      </w:pPr>
      <w:r>
        <w:rPr/>
        <w:t>подведения итогов закупки;</w:t>
      </w:r>
    </w:p>
    <w:p>
      <w:pPr>
        <w:pStyle w:val="Style32"/>
        <w:ind w:left="1134" w:hanging="0"/>
        <w:rPr/>
      </w:pPr>
      <w:bookmarkStart w:id="136" w:name="_Ref125550844"/>
      <w:r>
        <w:rPr/>
        <w:t>в пределах срока действия заявок и с уведомлением Участников, подавших заявки.</w:t>
      </w:r>
      <w:bookmarkEnd w:id="136"/>
    </w:p>
    <w:p>
      <w:pPr>
        <w:pStyle w:val="Style28"/>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8"/>
        <w:rPr/>
      </w:pPr>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 3 (трех) рабочих дней.</w:t>
      </w:r>
    </w:p>
    <w:p>
      <w:pPr>
        <w:pStyle w:val="Style28"/>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7"/>
        <w:rPr/>
      </w:pPr>
      <w:bookmarkStart w:id="137" w:name="_Toc228877688"/>
      <w:bookmarkStart w:id="138" w:name="_Ref125362119"/>
      <w:r>
        <w:rPr/>
        <w:t>Подача заявок и их прием</w:t>
      </w:r>
      <w:bookmarkEnd w:id="137"/>
      <w:bookmarkEnd w:id="138"/>
    </w:p>
    <w:p>
      <w:pPr>
        <w:pStyle w:val="Style28"/>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8"/>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8"/>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8"/>
        <w:rPr/>
      </w:pPr>
      <w:r>
        <w:rPr/>
        <w:t xml:space="preserve">Заявка должна быть подписана </w:t>
      </w:r>
      <w:bookmarkStart w:id="139" w:name="_Hlk219296949"/>
      <w:r>
        <w:rPr/>
        <w:t xml:space="preserve">усиленной квалифицированной </w:t>
      </w:r>
      <w:bookmarkEnd w:id="139"/>
      <w:r>
        <w:rPr/>
        <w:t>электронной подписью лица, которое является уполномоченным представителем Участника.</w:t>
      </w:r>
    </w:p>
    <w:p>
      <w:pPr>
        <w:pStyle w:val="Style28"/>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8"/>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8"/>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7"/>
        <w:rPr/>
      </w:pPr>
      <w:bookmarkStart w:id="140" w:name="_Toc228877689"/>
      <w:bookmarkStart w:id="141" w:name="_Ref125365136"/>
      <w:bookmarkStart w:id="142" w:name="_Ref125363819"/>
      <w:bookmarkStart w:id="143" w:name="_Ref125362192"/>
      <w:bookmarkStart w:id="144" w:name="_Ref125362130"/>
      <w:r>
        <w:rPr/>
        <w:t>Изменение и отзыв заявок</w:t>
      </w:r>
      <w:bookmarkEnd w:id="140"/>
      <w:bookmarkEnd w:id="141"/>
      <w:bookmarkEnd w:id="142"/>
      <w:bookmarkEnd w:id="143"/>
      <w:bookmarkEnd w:id="144"/>
    </w:p>
    <w:p>
      <w:pPr>
        <w:pStyle w:val="Style28"/>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8"/>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8"/>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8"/>
        <w:rPr/>
      </w:pPr>
      <w:r>
        <w:rPr/>
        <w:t>Изменения и отзыв заявки осуществляется посредством функционала ЭП (подробный порядок определяется Регламентом ЭП).</w:t>
      </w:r>
    </w:p>
    <w:p>
      <w:pPr>
        <w:pStyle w:val="Style27"/>
        <w:rPr/>
      </w:pPr>
      <w:bookmarkStart w:id="145" w:name="_Toc228877690"/>
      <w:bookmarkStart w:id="146" w:name="_Ref132816188"/>
      <w:r>
        <w:rPr/>
        <w:t>Открытие доступа к первым частям заявок</w:t>
      </w:r>
      <w:bookmarkEnd w:id="145"/>
      <w:bookmarkEnd w:id="146"/>
    </w:p>
    <w:p>
      <w:pPr>
        <w:pStyle w:val="Style28"/>
        <w:rPr/>
      </w:pPr>
      <w:bookmarkStart w:id="147" w:name="_Hlk149310876"/>
      <w:r>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bookmarkEnd w:id="147"/>
    </w:p>
    <w:p>
      <w:pPr>
        <w:pStyle w:val="Style28"/>
        <w:rPr/>
      </w:pPr>
      <w:bookmarkStart w:id="148" w:name="_Hlk149310910"/>
      <w:r>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bookmarkEnd w:id="148"/>
    </w:p>
    <w:p>
      <w:pPr>
        <w:pStyle w:val="Style27"/>
        <w:rPr/>
      </w:pPr>
      <w:bookmarkStart w:id="149" w:name="_Toc228877691"/>
      <w:bookmarkStart w:id="150" w:name="_Ref125366689"/>
      <w:bookmarkStart w:id="151" w:name="_Ref125362364"/>
      <w:r>
        <w:rPr/>
        <w:t>Рассмотрение первых частей заявок (отборочная стадия)</w:t>
      </w:r>
      <w:bookmarkEnd w:id="149"/>
      <w:bookmarkEnd w:id="150"/>
      <w:bookmarkEnd w:id="151"/>
    </w:p>
    <w:p>
      <w:pPr>
        <w:pStyle w:val="Style28"/>
        <w:rPr/>
      </w:pPr>
      <w:r>
        <w:rPr/>
        <w:t>Дата окончания срока рассмотрения первых частей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8"/>
        <w:rPr/>
      </w:pPr>
      <w:r>
        <w:rPr/>
        <w:t xml:space="preserve">В рамках рассмотрения первых частей заявок (отборочной стадии) осуществляется проверка каждой заявки на предмет соответствия </w:t>
      </w:r>
      <w:hyperlink w:anchor="Прил07_ОтборочныеКритерии">
        <w:r>
          <w:rPr>
            <w:rStyle w:val="Style11"/>
          </w:rPr>
          <w:t>Отборочным критериям рассмотрения заявок (Приложение № 7)</w:t>
        </w:r>
      </w:hyperlink>
      <w:r>
        <w:rPr/>
        <w:t>.</w:t>
      </w:r>
    </w:p>
    <w:p>
      <w:pPr>
        <w:pStyle w:val="Style28"/>
        <w:rPr/>
      </w:pPr>
      <w:r>
        <w:rPr/>
        <w:t>Рассмотрение первых частей заявок проводится на основании представленных в составе заявки документов и сведений.</w:t>
      </w:r>
    </w:p>
    <w:p>
      <w:pPr>
        <w:pStyle w:val="Style28"/>
        <w:keepNext w:val="true"/>
        <w:rPr/>
      </w:pPr>
      <w:bookmarkStart w:id="152" w:name="_Ref125551456"/>
      <w:r>
        <w:rPr/>
        <w:t>По результатам рассмотрения первых частей заявок (проведения отборочной стадии) Закупочная комиссия отклоняет заявки по следующим основаниям:</w:t>
      </w:r>
      <w:bookmarkEnd w:id="152"/>
    </w:p>
    <w:p>
      <w:pPr>
        <w:pStyle w:val="Style29"/>
        <w:rPr/>
      </w:pPr>
      <w:r>
        <w:rPr/>
        <w:t>несоответствие первой части заявки по составу</w:t>
      </w:r>
      <w:r>
        <w:rPr>
          <w:rStyle w:val="FootnoteReference"/>
        </w:rPr>
        <w:footnoteReference w:id="3"/>
      </w:r>
      <w:r>
        <w:rPr/>
        <w:t>, содержанию и соблюдению требований Документации о закупке к подготовке (оформлению) заявки, в том числе наличие:</w:t>
      </w:r>
    </w:p>
    <w:p>
      <w:pPr>
        <w:pStyle w:val="Style30"/>
        <w:rPr/>
      </w:pPr>
      <w:r>
        <w:rPr/>
        <w:t>недостоверных сведений или намеренно искаженной информации или документов;</w:t>
      </w:r>
    </w:p>
    <w:p>
      <w:pPr>
        <w:pStyle w:val="Style30"/>
        <w:rPr/>
      </w:pPr>
      <w:r>
        <w:rPr/>
        <w:t>внутренних противоречий между различными частями и (или) документами первой части заявки, в том числе по тексту внутри одного документа;</w:t>
      </w:r>
    </w:p>
    <w:p>
      <w:pPr>
        <w:pStyle w:val="Style29"/>
        <w:rPr/>
      </w:pPr>
      <w:r>
        <w:rPr/>
        <w:t>несоответствие предлагаемой продукции требованиям Документации о закупке, в том числе порядка описания такой продукции;</w:t>
      </w:r>
    </w:p>
    <w:p>
      <w:pPr>
        <w:pStyle w:val="Style29"/>
        <w:rPr/>
      </w:pPr>
      <w:r>
        <w:rPr/>
        <w:t>несоответствие предлагаемых договорных условий требованиям Документации о закупке;</w:t>
      </w:r>
    </w:p>
    <w:p>
      <w:pPr>
        <w:pStyle w:val="Style29"/>
        <w:rPr/>
      </w:pPr>
      <w:r>
        <w:rPr/>
        <w:t>наличие в документах первой части заявки сведений об Участники и (или) о его ценовом предложении.</w:t>
      </w:r>
    </w:p>
    <w:p>
      <w:pPr>
        <w:pStyle w:val="Style28"/>
        <w:keepNext w:val="true"/>
        <w:rPr/>
      </w:pPr>
      <w:r>
        <w:rPr/>
        <w:t>Решение Закупочной комиссии по рассмотрению первых частей заявок оформляется протоколом, в котором, как минимум, указываются</w:t>
      </w:r>
      <w:r>
        <w:rPr>
          <w:rStyle w:val="FootnoteReference"/>
        </w:rPr>
        <w:footnoteReference w:id="4"/>
      </w:r>
      <w:r>
        <w:rPr/>
        <w:t>:</w:t>
      </w:r>
    </w:p>
    <w:p>
      <w:pPr>
        <w:pStyle w:val="Style29"/>
        <w:rPr/>
      </w:pPr>
      <w:r>
        <w:rPr/>
        <w:t>дата подписания протокола;</w:t>
      </w:r>
    </w:p>
    <w:p>
      <w:pPr>
        <w:pStyle w:val="Style29"/>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9"/>
        <w:rPr/>
      </w:pPr>
      <w:r>
        <w:rPr/>
        <w:t>идентификационные номера, присваиваемые Оператором ЭП;</w:t>
      </w:r>
    </w:p>
    <w:p>
      <w:pPr>
        <w:pStyle w:val="Style29"/>
        <w:keepNext w:val="true"/>
        <w:rPr/>
      </w:pPr>
      <w:r>
        <w:rPr/>
        <w:t>результаты рассмотрения первых частей заявок с указанием, в том числе:</w:t>
      </w:r>
    </w:p>
    <w:p>
      <w:pPr>
        <w:pStyle w:val="Style30"/>
        <w:rPr/>
      </w:pPr>
      <w:r>
        <w:rPr/>
        <w:t>количества заявок, которые были отклонены по результатам рассмотрения первых частей заявок;</w:t>
      </w:r>
    </w:p>
    <w:p>
      <w:pPr>
        <w:pStyle w:val="Style30"/>
        <w:rPr/>
      </w:pPr>
      <w:r>
        <w:rPr/>
        <w:t>оснований отклонения каждой заявки с указанием положений Документации о закупке, которым не соответствует первая часть такой заявка;</w:t>
      </w:r>
    </w:p>
    <w:p>
      <w:pPr>
        <w:pStyle w:val="Style29"/>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8"/>
        <w:rPr/>
      </w:pPr>
      <w:r>
        <w:rPr/>
        <w:t>Протокол рассмотрения первых частей заявок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7"/>
        <w:rPr/>
      </w:pPr>
      <w:bookmarkStart w:id="153" w:name="_Toc228877692"/>
      <w:bookmarkStart w:id="154" w:name="_Ref132801184"/>
      <w:r>
        <w:rPr/>
        <w:t>Открытие доступа ко вторым частям заявок и ценовым предложениям</w:t>
      </w:r>
      <w:bookmarkEnd w:id="153"/>
      <w:bookmarkEnd w:id="154"/>
    </w:p>
    <w:p>
      <w:pPr>
        <w:pStyle w:val="Style28"/>
        <w:rPr/>
      </w:pPr>
      <w:r>
        <w:rPr/>
        <w:t>Оператор ЭП направляет в адрес Организатора вторые части заявок и ценовые предложения в срок, установленный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8"/>
        <w:rPr/>
      </w:pPr>
      <w:r>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7"/>
        <w:rPr/>
      </w:pPr>
      <w:bookmarkStart w:id="155" w:name="_Ref132797154"/>
      <w:bookmarkStart w:id="156" w:name="_Toc228877693"/>
      <w:r>
        <w:rPr/>
        <w:t>Рассмотрение вторых частей заявок (отборочная стадия), в том числе (при необходимости) проведение аккредитации, и ценовых предложений</w:t>
      </w:r>
      <w:bookmarkEnd w:id="155"/>
      <w:bookmarkEnd w:id="156"/>
    </w:p>
    <w:p>
      <w:pPr>
        <w:pStyle w:val="Style28"/>
        <w:rPr/>
      </w:pPr>
      <w:r>
        <w:rPr/>
        <w:t>Дата окончания срока рассмотрения вторых частей заявок и ценовых предложений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8"/>
        <w:rPr/>
      </w:pPr>
      <w:r>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на предмет соответствия </w:t>
      </w:r>
      <w:hyperlink w:anchor="Прил07_ОтборочныеКритерии">
        <w:r>
          <w:rPr>
            <w:rStyle w:val="Style11"/>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8"/>
        <w:rPr/>
      </w:pPr>
      <w:r>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8"/>
        <w:keepNext w:val="true"/>
        <w:rPr/>
      </w:pPr>
      <w:bookmarkStart w:id="157" w:name="_Ref224835594"/>
      <w:r>
        <w:rPr/>
        <w:t>При выявлении в рамках рассмотрения ценовых предложений наличия арифметических ошибок, в том числе:</w:t>
      </w:r>
      <w:bookmarkEnd w:id="157"/>
    </w:p>
    <w:p>
      <w:pPr>
        <w:pStyle w:val="Style29"/>
        <w:rPr/>
      </w:pPr>
      <w:r>
        <w:rPr/>
        <w:t>в результате суммирования единичных расценок;</w:t>
      </w:r>
    </w:p>
    <w:p>
      <w:pPr>
        <w:pStyle w:val="Style29"/>
        <w:rPr/>
      </w:pPr>
      <w:r>
        <w:rPr/>
        <w:t>в итогах умножения единичных расценок на объем продукции;</w:t>
      </w:r>
    </w:p>
    <w:p>
      <w:pPr>
        <w:pStyle w:val="Style29"/>
        <w:rPr/>
      </w:pPr>
      <w:r>
        <w:rPr/>
        <w:t>в вычислении суммы НДС и итоговой стоимости заявки с учетом НДС);</w:t>
      </w:r>
    </w:p>
    <w:p>
      <w:pPr>
        <w:pStyle w:val="Style29"/>
        <w:rPr/>
      </w:pPr>
      <w:r>
        <w:rPr/>
        <w:t>иных внутренних противоречий в составе заявки,</w:t>
      </w:r>
    </w:p>
    <w:p>
      <w:pPr>
        <w:pStyle w:val="Style32"/>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8"/>
        <w:keepNext w:val="true"/>
        <w:rPr/>
      </w:pPr>
      <w:bookmarkStart w:id="158" w:name="_Ref132793926"/>
      <w:r>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158"/>
    </w:p>
    <w:p>
      <w:pPr>
        <w:pStyle w:val="Style29"/>
        <w:rPr/>
      </w:pPr>
      <w:r>
        <w:rPr/>
        <w:t>несоответствие второй части заявки и (или) ценового предложения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30"/>
        <w:rPr/>
      </w:pPr>
      <w:r>
        <w:rPr/>
        <w:t>недостоверных сведений или намеренно искаженной информации или документов;</w:t>
      </w:r>
    </w:p>
    <w:p>
      <w:pPr>
        <w:pStyle w:val="Style30"/>
        <w:rPr/>
      </w:pPr>
      <w:r>
        <w:rPr/>
        <w:t xml:space="preserve">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 (за исключением ошибок, предусмотренных пунктом </w:t>
      </w:r>
      <w:r>
        <w:rPr/>
        <w:fldChar w:fldCharType="begin"/>
      </w:r>
      <w:r>
        <w:rPr/>
        <w:instrText xml:space="preserve"> REF _Ref224835594 \r \h </w:instrText>
      </w:r>
      <w:r>
        <w:rPr/>
        <w:fldChar w:fldCharType="separate"/>
      </w:r>
      <w:r>
        <w:rPr/>
        <w:t>4.11.4</w:t>
      </w:r>
      <w:r>
        <w:rPr/>
        <w:fldChar w:fldCharType="end"/>
      </w:r>
      <w:r>
        <w:rPr/>
        <w:t>);</w:t>
      </w:r>
    </w:p>
    <w:p>
      <w:pPr>
        <w:pStyle w:val="Style29"/>
        <w:rPr/>
      </w:pPr>
      <w:r>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9"/>
        <w:rPr/>
      </w:pPr>
      <w:r>
        <w:rPr/>
        <w:t>несоответствие Участников требованиям Документации о закупке;</w:t>
      </w:r>
    </w:p>
    <w:p>
      <w:pPr>
        <w:pStyle w:val="Style29"/>
        <w:rPr/>
      </w:pPr>
      <w:r>
        <w:rPr/>
        <w:t>несоответствие привлекаемых субподрядчиков (соисполнителей) требованиям Документации о закупке;</w:t>
      </w:r>
    </w:p>
    <w:p>
      <w:pPr>
        <w:pStyle w:val="Style29"/>
        <w:rPr/>
      </w:pPr>
      <w:r>
        <w:rPr/>
        <w:t>превышение ценового предложения над установленным размером НМЦ.</w:t>
      </w:r>
    </w:p>
    <w:p>
      <w:pPr>
        <w:pStyle w:val="Style28"/>
        <w:keepNext w:val="true"/>
        <w:rPr/>
      </w:pPr>
      <w:r>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rPr>
        <w:footnoteReference w:id="6"/>
      </w:r>
      <w:r>
        <w:rPr/>
        <w:t>:</w:t>
      </w:r>
    </w:p>
    <w:p>
      <w:pPr>
        <w:pStyle w:val="Style29"/>
        <w:rPr/>
      </w:pPr>
      <w:r>
        <w:rPr/>
        <w:t>дата подписания протокола;</w:t>
      </w:r>
    </w:p>
    <w:p>
      <w:pPr>
        <w:pStyle w:val="Style29"/>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9"/>
        <w:rPr/>
      </w:pPr>
      <w:r>
        <w:rPr/>
        <w:t>наименования Участников, заявки которых не были отклонены по результатам рассмотрения первых частей заявок, и (или) их идентификационные номера, присваиваемые Оператором ЭП;</w:t>
      </w:r>
    </w:p>
    <w:p>
      <w:pPr>
        <w:pStyle w:val="Style29"/>
        <w:keepNext w:val="true"/>
        <w:rPr/>
      </w:pPr>
      <w:r>
        <w:rPr/>
        <w:t>результаты рассмотрения вторых частей заявок и ценовых предложений с указанием, в том числе:</w:t>
      </w:r>
    </w:p>
    <w:p>
      <w:pPr>
        <w:pStyle w:val="Style30"/>
        <w:rPr/>
      </w:pPr>
      <w:r>
        <w:rPr/>
        <w:t>количества заявок, которые были отклонены по результатам рассмотрения вторых частей заявок и ценовых предложений;</w:t>
      </w:r>
    </w:p>
    <w:p>
      <w:pPr>
        <w:pStyle w:val="Style30"/>
        <w:rPr/>
      </w:pPr>
      <w:r>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9"/>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8"/>
        <w:rPr/>
      </w:pPr>
      <w:r>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7"/>
        <w:rPr/>
      </w:pPr>
      <w:bookmarkStart w:id="159" w:name="_Toc228877694"/>
      <w:bookmarkStart w:id="160" w:name="_Ref125362610"/>
      <w:bookmarkStart w:id="161" w:name="_Ref125362464"/>
      <w:bookmarkStart w:id="162" w:name="_Ref125362425"/>
      <w:bookmarkStart w:id="163" w:name="_Ref125362381"/>
      <w:r>
        <w:rPr/>
        <w:t>Дополнительные запросы разъяснений заявок</w:t>
      </w:r>
      <w:bookmarkEnd w:id="159"/>
      <w:bookmarkEnd w:id="160"/>
      <w:bookmarkEnd w:id="161"/>
      <w:bookmarkEnd w:id="162"/>
      <w:bookmarkEnd w:id="163"/>
    </w:p>
    <w:p>
      <w:pPr>
        <w:pStyle w:val="Style28"/>
        <w:rPr/>
      </w:pPr>
      <w:bookmarkStart w:id="164" w:name="_Ref125365611"/>
      <w:r>
        <w:rPr/>
        <w:t>В рамках процедуры рассмотрения заявок (первых частей заявок, вторых частей заявок и ценовых предложений),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64"/>
    </w:p>
    <w:p>
      <w:pPr>
        <w:pStyle w:val="Style29"/>
        <w:keepNext w:val="true"/>
        <w:rPr/>
      </w:pPr>
      <w:r>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30"/>
        <w:rPr/>
      </w:pPr>
      <w:r>
        <w:rPr/>
        <w:t>соответствия Участника требованиям Документации о закупке;</w:t>
      </w:r>
    </w:p>
    <w:p>
      <w:pPr>
        <w:pStyle w:val="Style30"/>
        <w:rPr/>
      </w:pPr>
      <w:bookmarkStart w:id="165" w:name="_Hlk132793683"/>
      <w:r>
        <w:rPr/>
        <w:t>наличия соответствующих полномочий на подписание заявки от имени Участника у лица, подписавшего заявку</w:t>
      </w:r>
      <w:bookmarkEnd w:id="165"/>
      <w:r>
        <w:rPr/>
        <w:t>;</w:t>
      </w:r>
    </w:p>
    <w:p>
      <w:pPr>
        <w:pStyle w:val="Style30"/>
        <w:rPr/>
      </w:pPr>
      <w:r>
        <w:rPr/>
        <w:t xml:space="preserve">соответствия заявки требованиям Документации о закупке в части характеристик предлагаемой продукции, страны происхождения товара и (или) страны регистрации Участника (в целях исполнения требований законодательства о национальном режиме (подраздел </w:t>
      </w:r>
      <w:r>
        <w:rPr/>
        <w:fldChar w:fldCharType="begin"/>
      </w:r>
      <w:r>
        <w:rPr/>
        <w:instrText xml:space="preserve"> REF _Ref186219943 \r \h </w:instrText>
      </w:r>
      <w:r>
        <w:rPr/>
        <w:fldChar w:fldCharType="separate"/>
      </w:r>
      <w:r>
        <w:rPr/>
        <w:t>4.14</w:t>
      </w:r>
      <w:r>
        <w:rPr/>
        <w:fldChar w:fldCharType="end"/>
      </w:r>
      <w:r>
        <w:rPr/>
        <w:t>), договорных условий и расчета цены Договора;</w:t>
      </w:r>
    </w:p>
    <w:p>
      <w:pPr>
        <w:pStyle w:val="Style29"/>
        <w:rPr/>
      </w:pPr>
      <w:bookmarkStart w:id="166" w:name="_Ref135033677"/>
      <w:r>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9"/>
        <w:rPr/>
      </w:pPr>
      <w:r>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7"/>
      </w:r>
      <w:r>
        <w:rPr/>
        <w:t>) требованиям Документации о закупке или осуществить оценку и сопоставление заявок.</w:t>
      </w:r>
      <w:bookmarkEnd w:id="166"/>
    </w:p>
    <w:p>
      <w:pPr>
        <w:pStyle w:val="Style28"/>
        <w:rPr/>
      </w:pPr>
      <w:r>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_Ref135033677 \r \h </w:instrText>
      </w:r>
      <w:r>
        <w:rPr/>
        <w:fldChar w:fldCharType="separate"/>
      </w:r>
      <w:r>
        <w:rPr/>
        <w:t>4.12.1б)</w:t>
      </w:r>
      <w:r>
        <w:rPr/>
        <w:fldChar w:fldCharType="end"/>
      </w:r>
      <w:r>
        <w:rPr/>
        <w:t>).</w:t>
      </w:r>
    </w:p>
    <w:p>
      <w:pPr>
        <w:pStyle w:val="Style28"/>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8"/>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8"/>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4.12.1</w:t>
      </w:r>
      <w:r>
        <w:rPr/>
        <w:fldChar w:fldCharType="end"/>
      </w:r>
      <w:r>
        <w:rPr/>
        <w:t>.</w:t>
      </w:r>
    </w:p>
    <w:p>
      <w:pPr>
        <w:pStyle w:val="Style28"/>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8"/>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8"/>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w:t>
      </w:r>
    </w:p>
    <w:p>
      <w:pPr>
        <w:pStyle w:val="Style27"/>
        <w:rPr/>
      </w:pPr>
      <w:bookmarkStart w:id="167" w:name="_Ref125369308"/>
      <w:bookmarkStart w:id="168" w:name="_Ref125369041"/>
      <w:bookmarkStart w:id="169" w:name="_Ref125366534"/>
      <w:bookmarkStart w:id="170" w:name="_Ref125365519"/>
      <w:bookmarkStart w:id="171" w:name="_Ref125365335"/>
      <w:bookmarkStart w:id="172" w:name="_Ref125362626"/>
      <w:bookmarkStart w:id="173" w:name="_Toc228877695"/>
      <w:r>
        <w:rPr/>
        <w:t>Оценка и сопоставление заявок</w:t>
      </w:r>
      <w:bookmarkEnd w:id="167"/>
      <w:bookmarkEnd w:id="168"/>
      <w:bookmarkEnd w:id="169"/>
      <w:bookmarkEnd w:id="170"/>
      <w:bookmarkEnd w:id="171"/>
      <w:bookmarkEnd w:id="172"/>
      <w:bookmarkEnd w:id="173"/>
    </w:p>
    <w:p>
      <w:pPr>
        <w:pStyle w:val="Style28"/>
        <w:rPr/>
      </w:pPr>
      <w:r>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вторых частей заявок и ценовых предложений) осуществляется в соответствии с </w:t>
      </w:r>
      <w:hyperlink w:anchor="Прил08_ПорядокОценки">
        <w:r>
          <w:rPr>
            <w:rStyle w:val="Style11"/>
          </w:rPr>
          <w:t>Порядком и критериями оценки и сопоставления заявок (Приложение № 8)</w:t>
        </w:r>
      </w:hyperlink>
      <w:r>
        <w:rPr/>
        <w:t>, с присвоением каждой заявке итогового балла.</w:t>
      </w:r>
    </w:p>
    <w:p>
      <w:pPr>
        <w:pStyle w:val="Style28"/>
        <w:rPr/>
      </w:pPr>
      <w:r>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p>
    <w:p>
      <w:pPr>
        <w:pStyle w:val="Style28"/>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8"/>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_Ref132816300 \r \h </w:instrText>
      </w:r>
      <w:r>
        <w:rPr/>
        <w:fldChar w:fldCharType="separate"/>
      </w:r>
      <w:r>
        <w:rPr/>
        <w:t>4.14</w:t>
      </w:r>
      <w:r>
        <w:rPr/>
        <w:fldChar w:fldCharType="end"/>
      </w:r>
      <w:r>
        <w:rPr/>
        <w:t>).</w:t>
      </w:r>
    </w:p>
    <w:p>
      <w:pPr>
        <w:pStyle w:val="Style28"/>
        <w:rPr/>
      </w:pPr>
      <w:r>
        <w:rPr/>
        <w:t>Результаты оценки и сопоставления заявок указываются в итоговом протоколе по результатам закупки.</w:t>
      </w:r>
    </w:p>
    <w:p>
      <w:pPr>
        <w:pStyle w:val="Style27"/>
        <w:rPr/>
      </w:pPr>
      <w:bookmarkStart w:id="174" w:name="_Ref130458671"/>
      <w:bookmarkStart w:id="175" w:name="_Ref125370507"/>
      <w:bookmarkStart w:id="176" w:name="_Ref125369991"/>
      <w:bookmarkStart w:id="177" w:name="_Ref125366064"/>
      <w:bookmarkStart w:id="178" w:name="_Ref130985951"/>
      <w:bookmarkStart w:id="179" w:name="_Ref132816300"/>
      <w:bookmarkStart w:id="180" w:name="_Ref186219943"/>
      <w:bookmarkStart w:id="181" w:name="_Toc228877696"/>
      <w:r>
        <w:rPr/>
        <w:t>Применение законодательства о национальном режиме</w:t>
      </w:r>
      <w:bookmarkEnd w:id="174"/>
      <w:bookmarkEnd w:id="175"/>
      <w:bookmarkEnd w:id="176"/>
      <w:bookmarkEnd w:id="177"/>
      <w:bookmarkEnd w:id="178"/>
      <w:bookmarkEnd w:id="179"/>
      <w:bookmarkEnd w:id="180"/>
      <w:bookmarkEnd w:id="181"/>
    </w:p>
    <w:p>
      <w:pPr>
        <w:pStyle w:val="Style28"/>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8"/>
        <w:rPr/>
      </w:pPr>
      <w:bookmarkStart w:id="182" w:name="_Ref207817837"/>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Pr/>
        <w:fldChar w:fldCharType="begin"/>
      </w:r>
      <w:r>
        <w:rPr/>
        <w:instrText xml:space="preserve"> REF _Ref132797154 \r \h </w:instrText>
      </w:r>
      <w:r>
        <w:rPr/>
        <w:fldChar w:fldCharType="separate"/>
      </w:r>
      <w:r>
        <w:rPr/>
        <w:t>4.11</w:t>
      </w:r>
      <w:r>
        <w:rPr/>
        <w:fldChar w:fldCharType="end"/>
      </w:r>
      <w:r>
        <w:rPr/>
        <w:t>).</w:t>
      </w:r>
      <w:bookmarkEnd w:id="182"/>
    </w:p>
    <w:p>
      <w:pPr>
        <w:pStyle w:val="Style28"/>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fldChar w:fldCharType="begin"/>
      </w:r>
      <w:r>
        <w:rPr/>
        <w:instrText xml:space="preserve"> REF _Ref132797154 \r \h </w:instrText>
      </w:r>
      <w:r>
        <w:rPr/>
        <w:fldChar w:fldCharType="separate"/>
      </w:r>
      <w:r>
        <w:rPr/>
        <w:t>4.11</w:t>
      </w:r>
      <w:r>
        <w:rPr/>
        <w:fldChar w:fldCharType="end"/>
      </w:r>
      <w:r>
        <w:rPr/>
        <w:t>).</w:t>
      </w:r>
    </w:p>
    <w:p>
      <w:pPr>
        <w:pStyle w:val="Style28"/>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4.13</w:t>
      </w:r>
      <w:r>
        <w:rPr/>
        <w:fldChar w:fldCharType="end"/>
      </w:r>
      <w:r>
        <w:rPr/>
        <w:t>), осуществляется снижение</w:t>
      </w:r>
      <w:r>
        <w:rPr>
          <w:rStyle w:val="FootnoteReference"/>
        </w:rPr>
        <w:footnoteReference w:id="8"/>
      </w:r>
      <w:r>
        <w:rPr/>
        <w:t xml:space="preserve"> на 15% (пятнадцать процентов) итоговой стоимости (цены Договора) поданной и допущенной заявки с российской продукцией (на поставку товара российского происхождения (в том числе поставляемых при выполнении закупаемых работ, оказании закупаемых услуг)), при условии наличия допущенной заявки с иностранной продукцией (на поставку товара иностранного происхождения).</w:t>
      </w:r>
    </w:p>
    <w:p>
      <w:pPr>
        <w:pStyle w:val="Style28"/>
        <w:rPr/>
      </w:pPr>
      <w:bookmarkStart w:id="183" w:name="_Ref195007400"/>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rPr/>
        <w:fldChar w:fldCharType="begin"/>
      </w:r>
      <w:r>
        <w:rPr/>
        <w:instrText xml:space="preserve"> REF _Ref132797154 \r \h </w:instrText>
      </w:r>
      <w:r>
        <w:rPr/>
        <w:fldChar w:fldCharType="separate"/>
      </w:r>
      <w:r>
        <w:rPr/>
        <w:t>4.11</w:t>
      </w:r>
      <w:r>
        <w:rPr/>
        <w:fldChar w:fldCharType="end"/>
      </w:r>
      <w:r>
        <w:rPr/>
        <w:t>).</w:t>
      </w:r>
      <w:bookmarkEnd w:id="183"/>
    </w:p>
    <w:p>
      <w:pPr>
        <w:pStyle w:val="Style28"/>
        <w:rPr/>
      </w:pPr>
      <w:r>
        <w:rPr/>
        <w:t>Состав и требования к сведениям и (или) 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rPr/>
        <w:fldChar w:fldCharType="begin"/>
      </w:r>
      <w:r>
        <w:rPr/>
        <w:instrText xml:space="preserve"> REF _Ref207817837 \r \h </w:instrText>
      </w:r>
      <w:r>
        <w:rPr/>
        <w:fldChar w:fldCharType="separate"/>
      </w:r>
      <w:r>
        <w:rPr/>
        <w:t>4.14.2</w:t>
      </w:r>
      <w:r>
        <w:rPr/>
        <w:fldChar w:fldCharType="end"/>
      </w:r>
      <w:r>
        <w:rPr/>
        <w:t> – </w:t>
      </w:r>
      <w:r>
        <w:rPr/>
        <w:fldChar w:fldCharType="begin"/>
      </w:r>
      <w:r>
        <w:rPr/>
        <w:instrText xml:space="preserve"> REF _Ref195007400 \r \h </w:instrText>
      </w:r>
      <w:r>
        <w:rPr/>
        <w:fldChar w:fldCharType="separate"/>
      </w:r>
      <w:r>
        <w:rPr/>
        <w:t>4.14.5</w:t>
      </w:r>
      <w:r>
        <w:rPr/>
        <w:fldChar w:fldCharType="end"/>
      </w:r>
      <w:r>
        <w:rPr/>
        <w:t>), установлены в Структуре НМЦ (в составе Коммерческого предложения (форма 3) (</w:t>
      </w:r>
      <w:hyperlink w:anchor="Прил04_ФормыЗаявки">
        <w:r>
          <w:rPr>
            <w:rStyle w:val="Style11"/>
          </w:rPr>
          <w:t>Приложение № 4</w:t>
        </w:r>
      </w:hyperlink>
      <w:r>
        <w:rPr/>
        <w:t>), а также в Технических требованиях (</w:t>
      </w:r>
      <w:hyperlink w:anchor="Прил01_ТехТребования">
        <w:r>
          <w:rPr>
            <w:rStyle w:val="Style11"/>
          </w:rPr>
          <w:t>Приложение № 1</w:t>
        </w:r>
      </w:hyperlink>
      <w:r>
        <w:rPr/>
        <w:t>) при исполнении Заказчиком норм в части минимальной обязательной доли закупок товаров российского происхождения.</w:t>
      </w:r>
    </w:p>
    <w:p>
      <w:pPr>
        <w:pStyle w:val="Style28"/>
        <w:keepNext w:val="true"/>
        <w:rPr/>
      </w:pPr>
      <w:r>
        <w:rPr/>
        <w:t>Товар приравнивается к товарам, происходящим из иностранного государства (не являющегося государством – членом ЕАЭС), если:</w:t>
      </w:r>
    </w:p>
    <w:p>
      <w:pPr>
        <w:pStyle w:val="Style29"/>
        <w:rPr/>
      </w:pPr>
      <w:r>
        <w:rPr/>
        <w:t>в отношении такого товара Участником не предоставлены в составе заявки требуемые Документацией о закупке подтверждающие сведения и (или) документы;</w:t>
      </w:r>
    </w:p>
    <w:p>
      <w:pPr>
        <w:pStyle w:val="Style29"/>
        <w:rPr/>
      </w:pPr>
      <w:r>
        <w:rPr/>
        <w:t>в соответствии с реестровой записью из реестра российской промышленной продукции количество указанных баллов за выполнение (освоение) на территории Российской Федерации соответствующих операций (условий) составляет меньшее значение по отношению к количеству баллов, определенных ПП 719 (в случае, если для такого товара ПП 719 установлены требования о совокупном количестве баллов).</w:t>
      </w:r>
    </w:p>
    <w:p>
      <w:pPr>
        <w:pStyle w:val="Style28"/>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(в отношении позиции № 146 приложения № 1 к ПП 1875), то заявка, содержащая предложение о поставке российского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 приравнивается к заявке, содержащей предложение о поставке программного обеспечения, происходящего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w:t>
      </w:r>
    </w:p>
    <w:p>
      <w:pPr>
        <w:pStyle w:val="Style28"/>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(в отношении позиций №№ 195, 197 – 199, 203 приложения № 2 к ПП 1875), то заявка, содержащая предложение о поставке российской радиоэлектронной продукции, но не являющейся в соответствии с ПП 719 радиоэлектронной продукцией первого уровня, приравнивается к заявке, содержащей предложение о поставке радиоэлектронной продукции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радиоэлектронной продукции российского происхождения, являющейся в соответствии с ПП 719 радиоэлектронной продукцией первого уровня.</w:t>
      </w:r>
    </w:p>
    <w:p>
      <w:pPr>
        <w:pStyle w:val="Style28"/>
        <w:rPr/>
      </w:pPr>
      <w:r>
        <w:rPr/>
        <w:t>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 установлен запрет;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pPr>
        <w:pStyle w:val="Style28"/>
        <w:rPr/>
      </w:pPr>
      <w:r>
        <w:rPr/>
        <w:t>Если Договор был заключен по результатам закупки, в которой был установлен режим ограничения закупки иностранных товаров,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ограничение, если Договор предусматривает поставку товара российского происхождения.</w:t>
      </w:r>
    </w:p>
    <w:p>
      <w:pPr>
        <w:pStyle w:val="Style28"/>
        <w:rPr/>
      </w:pPr>
      <w:r>
        <w:rPr/>
        <w:t>Если Договор был заключен по результатам закупки, в которой был установлен режим преимущество в отношении товара российского происхождения,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преимущество, если Договор предусматривает поставку товара российского происхождения.</w:t>
      </w:r>
    </w:p>
    <w:p>
      <w:pPr>
        <w:pStyle w:val="Style27"/>
        <w:rPr/>
      </w:pPr>
      <w:bookmarkStart w:id="184" w:name="_Toc228877698"/>
      <w:bookmarkStart w:id="185" w:name="_Ref125367242"/>
      <w:bookmarkStart w:id="186" w:name="_Ref125366091"/>
      <w:bookmarkStart w:id="187" w:name="_Ref125362658"/>
      <w:r>
        <w:rPr/>
        <w:t>Подведение итогов закупки (определение Победителя)</w:t>
      </w:r>
      <w:bookmarkEnd w:id="184"/>
      <w:bookmarkEnd w:id="185"/>
      <w:bookmarkEnd w:id="186"/>
      <w:bookmarkEnd w:id="187"/>
    </w:p>
    <w:p>
      <w:pPr>
        <w:pStyle w:val="Style28"/>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8"/>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8"/>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8"/>
        <w:keepNext w:val="true"/>
        <w:rPr/>
      </w:pPr>
      <w:bookmarkStart w:id="188"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9"/>
      </w:r>
      <w:r>
        <w:rPr/>
        <w:t>:</w:t>
      </w:r>
      <w:bookmarkEnd w:id="188"/>
    </w:p>
    <w:p>
      <w:pPr>
        <w:pStyle w:val="Style29"/>
        <w:rPr/>
      </w:pPr>
      <w:r>
        <w:rPr/>
        <w:t>дата подписания протокола;</w:t>
      </w:r>
    </w:p>
    <w:p>
      <w:pPr>
        <w:pStyle w:val="Style29"/>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9"/>
        <w:rPr/>
      </w:pPr>
      <w:r>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9"/>
        <w:keepNext w:val="true"/>
        <w:rPr/>
      </w:pPr>
      <w:r>
        <w:rPr/>
        <w:t>результаты рассмотрения заявок с указанием, в том числе:</w:t>
      </w:r>
    </w:p>
    <w:p>
      <w:pPr>
        <w:pStyle w:val="Style30"/>
        <w:rPr/>
      </w:pPr>
      <w:r>
        <w:rPr/>
        <w:t>количества заявок, которые были отклонены (отдельно по результатам рассмотрения первых частей заявок, по результатам рассмотрения вторых частей заявок и ценовых предложений);</w:t>
      </w:r>
    </w:p>
    <w:p>
      <w:pPr>
        <w:pStyle w:val="Style30"/>
        <w:rPr/>
      </w:pPr>
      <w:r>
        <w:rPr/>
        <w:t>оснований отклонения каждой заявки с указанием положений Документации о закупке, которым не соответствует такая заявка;</w:t>
      </w:r>
    </w:p>
    <w:p>
      <w:pPr>
        <w:pStyle w:val="Style29"/>
        <w:rPr/>
      </w:pPr>
      <w:r>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30"/>
        <w:rPr/>
      </w:pPr>
      <w:r>
        <w:rPr/>
        <w:t>количества заявок, которые были отклонены;</w:t>
      </w:r>
    </w:p>
    <w:p>
      <w:pPr>
        <w:pStyle w:val="Style30"/>
        <w:rPr/>
      </w:pPr>
      <w:r>
        <w:rPr/>
        <w:t>оснований отклонения каждой заявки с указанием положений Документации о закупке, которым не соответствует такая заявка;</w:t>
      </w:r>
    </w:p>
    <w:p>
      <w:pPr>
        <w:pStyle w:val="Style29"/>
        <w:rPr/>
      </w:pPr>
      <w:r>
        <w:rPr/>
        <w:t>результаты оценки и сопоставления заявок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9"/>
        <w:rPr/>
      </w:pPr>
      <w:r>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в том числе с учетом результатов актуализации статуса аккредитации (если указанная процедура проводилась), в ранжировке заявок;</w:t>
      </w:r>
    </w:p>
    <w:p>
      <w:pPr>
        <w:pStyle w:val="Style29"/>
        <w:rPr/>
      </w:pPr>
      <w:r>
        <w:rPr/>
        <w:t>наименование Победителя закупки или Единственного участника несостоявшейся закупки, с которым планируется заключить Договор;</w:t>
      </w:r>
    </w:p>
    <w:p>
      <w:pPr>
        <w:pStyle w:val="Style29"/>
        <w:rPr/>
      </w:pPr>
      <w:r>
        <w:rPr/>
        <w:t>причины, по которым закупка признана несостоявшейся (в случае ее признания таковой),</w:t>
      </w:r>
    </w:p>
    <w:p>
      <w:pPr>
        <w:pStyle w:val="Style32"/>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8"/>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8"/>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8"/>
        <w:rPr/>
      </w:pPr>
      <w:r>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_Ref130394205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7"/>
        <w:rPr/>
      </w:pPr>
      <w:bookmarkStart w:id="189" w:name="_Ref125366796"/>
      <w:bookmarkStart w:id="190" w:name="_Ref125364149"/>
      <w:bookmarkStart w:id="191" w:name="_Ref125364187"/>
      <w:bookmarkStart w:id="192" w:name="_Ref125365305"/>
      <w:bookmarkStart w:id="193" w:name="_Ref125366631"/>
      <w:bookmarkStart w:id="194" w:name="_Toc228877699"/>
      <w:bookmarkStart w:id="195" w:name="_Ref125365570"/>
      <w:r>
        <w:rPr/>
        <w:t>Признание закупки несостоявшейся</w:t>
      </w:r>
      <w:bookmarkEnd w:id="189"/>
      <w:bookmarkEnd w:id="190"/>
      <w:bookmarkEnd w:id="191"/>
      <w:bookmarkEnd w:id="192"/>
      <w:bookmarkEnd w:id="193"/>
      <w:bookmarkEnd w:id="194"/>
      <w:bookmarkEnd w:id="195"/>
    </w:p>
    <w:p>
      <w:pPr>
        <w:pStyle w:val="Style28"/>
        <w:keepNext w:val="true"/>
        <w:rPr/>
      </w:pPr>
      <w:bookmarkStart w:id="196" w:name="_Ref214290552"/>
      <w:r>
        <w:rPr/>
        <w:t>Закупка признается несостоявшейся в следующих случаях:</w:t>
      </w:r>
      <w:bookmarkEnd w:id="196"/>
    </w:p>
    <w:p>
      <w:pPr>
        <w:pStyle w:val="Style29"/>
        <w:rPr/>
      </w:pPr>
      <w:r>
        <w:rPr/>
        <w:t>если по окончанию срока подачи заявок поступило менее 2 (двух) заявок (с учетом возможных отзывов заявок);</w:t>
      </w:r>
    </w:p>
    <w:p>
      <w:pPr>
        <w:pStyle w:val="Style29"/>
        <w:rPr/>
      </w:pPr>
      <w:r>
        <w:rPr/>
        <w:t>по результатам рассмотрения первых частей заявок Закупочной комиссией принято решение о признании менее 2 (двух) заявок соответствующими требованиям Документации о закупки;</w:t>
      </w:r>
    </w:p>
    <w:p>
      <w:pPr>
        <w:pStyle w:val="Style29"/>
        <w:rPr/>
      </w:pPr>
      <w:r>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9"/>
        <w:rPr/>
      </w:pPr>
      <w:bookmarkStart w:id="197" w:name="_Hlk219297033"/>
      <w:r>
        <w:rPr/>
        <w:t>по результатам проведения закупки от заключения договора уклонились все допущенные Участники (подраздел</w:t>
      </w:r>
      <w:bookmarkEnd w:id="197"/>
      <w:r>
        <w:rPr/>
        <w:t xml:space="preserve"> </w:t>
      </w:r>
      <w:r>
        <w:rPr/>
        <w:fldChar w:fldCharType="begin"/>
      </w:r>
      <w:r>
        <w:rPr/>
        <w:instrText xml:space="preserve"> REF _Ref125367068 \r \h </w:instrText>
      </w:r>
      <w:r>
        <w:rPr/>
        <w:fldChar w:fldCharType="separate"/>
      </w:r>
      <w:r>
        <w:rPr/>
        <w:t>5.3</w:t>
      </w:r>
      <w:r>
        <w:rPr/>
        <w:fldChar w:fldCharType="end"/>
      </w:r>
      <w:r>
        <w:rPr/>
        <w:t>).</w:t>
      </w:r>
    </w:p>
    <w:p>
      <w:pPr>
        <w:pStyle w:val="Style28"/>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8"/>
        <w:keepNext w:val="true"/>
        <w:rPr/>
      </w:pPr>
      <w:r>
        <w:rPr/>
        <w:t>В случае признания закупки несостоявшейся (с учетом условий, предусмотренных Положением о закупке):</w:t>
      </w:r>
    </w:p>
    <w:p>
      <w:pPr>
        <w:pStyle w:val="Style29"/>
        <w:rPr/>
      </w:pPr>
      <w:r>
        <w:rPr/>
        <w:t xml:space="preserve">если поступила только 1 (одна) заявка от одного Участника (с учетом отозванных Участниками заявок), либо по результатам рассмотрения заявок (частей заявок, ценовых предложений в соответствии с пунктом </w:t>
      </w:r>
      <w:r>
        <w:rPr/>
        <w:fldChar w:fldCharType="begin"/>
      </w:r>
      <w:r>
        <w:rPr/>
        <w:instrText xml:space="preserve"> REF _Ref214290552 \r \h </w:instrText>
      </w:r>
      <w:r>
        <w:rPr/>
        <w:fldChar w:fldCharType="separate"/>
      </w:r>
      <w:r>
        <w:rPr/>
        <w:t>4.16.1</w:t>
      </w:r>
      <w:r>
        <w:rPr/>
        <w:fldChar w:fldCharType="end"/>
      </w:r>
      <w:r>
        <w:rPr/>
        <w:t>) принято решение о признании только 1 (одной) заявки соответствующей требованиям Документации о закупке – Заказчик заключает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 (при наличии экономической целесообразности и/или при условии отсутствия времени на повторное проведение закупки).</w:t>
      </w:r>
    </w:p>
    <w:p>
      <w:pPr>
        <w:pStyle w:val="Style39"/>
        <w:numPr>
          <w:ilvl w:val="0"/>
          <w:numId w:val="0"/>
        </w:numPr>
        <w:ind w:left="1701" w:hanging="0"/>
        <w:rPr>
          <w:sz w:val="26"/>
          <w:szCs w:val="26"/>
        </w:rPr>
      </w:pPr>
      <w:r>
        <w:rPr>
          <w:sz w:val="26"/>
          <w:szCs w:val="26"/>
        </w:rPr>
        <w:t>В случае отсутствия экономической целесообразности и/или при наличии времени на повторное проведение закупки, Заказчик принимает одно из следующих решений в порядке приоритета:</w:t>
      </w:r>
    </w:p>
    <w:p>
      <w:pPr>
        <w:pStyle w:val="-1"/>
        <w:numPr>
          <w:ilvl w:val="0"/>
          <w:numId w:val="17"/>
        </w:numPr>
        <w:tabs>
          <w:tab w:val="clear" w:pos="2552"/>
        </w:tabs>
        <w:ind w:left="2127" w:hanging="426"/>
        <w:rPr>
          <w:sz w:val="26"/>
          <w:szCs w:val="26"/>
        </w:rPr>
      </w:pPr>
      <w:r>
        <w:rPr>
          <w:sz w:val="26"/>
          <w:szCs w:val="26"/>
        </w:rPr>
        <w:t>повторное проведение закупки (в том числе с возможностью снятия признака закупки только среди субъектов МСП);</w:t>
      </w:r>
    </w:p>
    <w:p>
      <w:pPr>
        <w:pStyle w:val="-1"/>
        <w:numPr>
          <w:ilvl w:val="0"/>
          <w:numId w:val="17"/>
        </w:numPr>
        <w:tabs>
          <w:tab w:val="clear" w:pos="2552"/>
        </w:tabs>
        <w:ind w:left="1701" w:hanging="0"/>
        <w:rPr>
          <w:sz w:val="26"/>
          <w:szCs w:val="26"/>
        </w:rPr>
      </w:pPr>
      <w:r>
        <w:rPr>
          <w:sz w:val="26"/>
          <w:szCs w:val="26"/>
        </w:rPr>
        <w:t>отказ от заключения договора по следующим основаниям:</w:t>
      </w:r>
    </w:p>
    <w:p>
      <w:pPr>
        <w:pStyle w:val="-1"/>
        <w:numPr>
          <w:ilvl w:val="0"/>
          <w:numId w:val="18"/>
        </w:numPr>
        <w:tabs>
          <w:tab w:val="clear" w:pos="2552"/>
        </w:tabs>
        <w:ind w:left="2410" w:hanging="283"/>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8"/>
        </w:numPr>
        <w:tabs>
          <w:tab w:val="clear" w:pos="2552"/>
        </w:tabs>
        <w:ind w:left="2410" w:hanging="283"/>
        <w:rPr>
          <w:sz w:val="26"/>
          <w:szCs w:val="26"/>
        </w:rPr>
      </w:pPr>
      <w:r>
        <w:rPr>
          <w:sz w:val="26"/>
          <w:szCs w:val="26"/>
        </w:rPr>
        <w:t>изменение потребности в продукции, в том числе изменение характеристик продукции, при наличии утверждения таких изменений;</w:t>
      </w:r>
    </w:p>
    <w:p>
      <w:pPr>
        <w:pStyle w:val="-1"/>
        <w:numPr>
          <w:ilvl w:val="0"/>
          <w:numId w:val="18"/>
        </w:numPr>
        <w:tabs>
          <w:tab w:val="clear" w:pos="2552"/>
        </w:tabs>
        <w:ind w:left="2410" w:hanging="283"/>
        <w:rPr>
          <w:sz w:val="26"/>
          <w:szCs w:val="26"/>
        </w:rPr>
      </w:pPr>
      <w:r>
        <w:rPr>
          <w:sz w:val="26"/>
          <w:szCs w:val="26"/>
        </w:rPr>
        <w:t>необходимость исполнения предписаний антимонопольного органа;</w:t>
      </w:r>
    </w:p>
    <w:p>
      <w:pPr>
        <w:pStyle w:val="-1"/>
        <w:numPr>
          <w:ilvl w:val="0"/>
          <w:numId w:val="17"/>
        </w:numPr>
        <w:tabs>
          <w:tab w:val="clear" w:pos="2552"/>
        </w:tabs>
        <w:ind w:left="2127" w:hanging="426"/>
        <w:rPr>
          <w:sz w:val="26"/>
          <w:szCs w:val="26"/>
        </w:rPr>
      </w:pPr>
      <w:bookmarkStart w:id="198" w:name="_Hlk214281841"/>
      <w:r>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198"/>
    </w:p>
    <w:p>
      <w:pPr>
        <w:pStyle w:val="Style29"/>
        <w:rPr/>
      </w:pPr>
      <w:r>
        <w:rPr/>
        <w:t xml:space="preserve">если не поступило ни одной заявки, либо по результатам рассмотрения заявок (частей заявок, ценовых предложений в соответствии с пунктом </w:t>
      </w:r>
      <w:r>
        <w:rPr/>
        <w:fldChar w:fldCharType="begin"/>
      </w:r>
      <w:r>
        <w:rPr/>
        <w:instrText xml:space="preserve"> REF _Ref214290552 \r \h </w:instrText>
      </w:r>
      <w:r>
        <w:rPr/>
        <w:fldChar w:fldCharType="separate"/>
      </w:r>
      <w:r>
        <w:rPr/>
        <w:t>4.16.1</w:t>
      </w:r>
      <w:r>
        <w:rPr/>
        <w:fldChar w:fldCharType="end"/>
      </w:r>
      <w:r>
        <w:rPr/>
        <w:t xml:space="preserve">), принято решение о признании их не соответствующими требованиям Документации о закупке, </w:t>
      </w:r>
      <w:bookmarkStart w:id="199" w:name="_Hlk219297054"/>
      <w:r>
        <w:rPr/>
        <w:t>либо по результатам проведения закупки от заключения договора уклонились все допущенные Участники</w:t>
      </w:r>
      <w:bookmarkEnd w:id="199"/>
      <w:r>
        <w:rPr/>
        <w:t xml:space="preserve"> – Заказчик проводит повторную закупку (</w:t>
      </w:r>
      <w:r>
        <w:rPr>
          <w:szCs w:val="26"/>
        </w:rPr>
        <w:t>в том числе с возможностью снятия признака закупки только среди субъектов МСП</w:t>
      </w:r>
      <w:r>
        <w:rPr/>
        <w:t>).</w:t>
      </w:r>
    </w:p>
    <w:p>
      <w:pPr>
        <w:pStyle w:val="Style39"/>
        <w:numPr>
          <w:ilvl w:val="0"/>
          <w:numId w:val="0"/>
        </w:numPr>
        <w:ind w:left="1701" w:hanging="0"/>
        <w:rPr>
          <w:sz w:val="26"/>
          <w:szCs w:val="26"/>
        </w:rPr>
      </w:pPr>
      <w:r>
        <w:rPr>
          <w:sz w:val="26"/>
          <w:szCs w:val="26"/>
        </w:rPr>
        <w:t>Заказчик вправе отказаться от проведения повторной закупки по следующим основаниям:</w:t>
      </w:r>
    </w:p>
    <w:p>
      <w:pPr>
        <w:pStyle w:val="-1"/>
        <w:numPr>
          <w:ilvl w:val="0"/>
          <w:numId w:val="18"/>
        </w:numPr>
        <w:tabs>
          <w:tab w:val="clear" w:pos="2552"/>
        </w:tabs>
        <w:ind w:left="2127" w:hanging="426"/>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8"/>
        </w:numPr>
        <w:tabs>
          <w:tab w:val="clear" w:pos="2552"/>
        </w:tabs>
        <w:ind w:left="2127" w:hanging="426"/>
        <w:rPr>
          <w:sz w:val="26"/>
          <w:szCs w:val="26"/>
        </w:rPr>
      </w:pPr>
      <w:r>
        <w:rPr>
          <w:sz w:val="26"/>
          <w:szCs w:val="26"/>
        </w:rPr>
        <w:t>изменение потребности в продукции, в том числе изменение характеристик продукции;</w:t>
      </w:r>
    </w:p>
    <w:p>
      <w:pPr>
        <w:pStyle w:val="-1"/>
        <w:numPr>
          <w:ilvl w:val="0"/>
          <w:numId w:val="18"/>
        </w:numPr>
        <w:tabs>
          <w:tab w:val="clear" w:pos="2552"/>
        </w:tabs>
        <w:ind w:left="2127" w:hanging="426"/>
        <w:rPr>
          <w:sz w:val="26"/>
          <w:szCs w:val="26"/>
        </w:rPr>
      </w:pPr>
      <w:r>
        <w:rPr>
          <w:sz w:val="26"/>
          <w:szCs w:val="26"/>
        </w:rPr>
        <w:t>при отсутствии заявок, соответствующих установленным требованиям, по результатам повторного проведения закупки.</w:t>
      </w:r>
    </w:p>
    <w:p>
      <w:pPr>
        <w:pStyle w:val="Style27"/>
        <w:rPr/>
      </w:pPr>
      <w:bookmarkStart w:id="200" w:name="_Ref132816134"/>
      <w:bookmarkStart w:id="201" w:name="_Ref132816141"/>
      <w:bookmarkStart w:id="202" w:name="_Toc228877700"/>
      <w:bookmarkStart w:id="203" w:name="_Ref126141962"/>
      <w:bookmarkStart w:id="204" w:name="_Toc224743821"/>
      <w:bookmarkStart w:id="205" w:name="_Toc224743822"/>
      <w:bookmarkStart w:id="206" w:name="_Toc224743823"/>
      <w:bookmarkStart w:id="207" w:name="_Toc224743824"/>
      <w:bookmarkEnd w:id="204"/>
      <w:bookmarkEnd w:id="205"/>
      <w:bookmarkEnd w:id="206"/>
      <w:bookmarkEnd w:id="207"/>
      <w:r>
        <w:rPr/>
        <w:t>Отказ от проведения закупки</w:t>
      </w:r>
      <w:bookmarkEnd w:id="203"/>
      <w:r>
        <w:rPr/>
        <w:t xml:space="preserve"> (отмена закупки)</w:t>
      </w:r>
      <w:bookmarkEnd w:id="200"/>
      <w:bookmarkEnd w:id="201"/>
      <w:bookmarkEnd w:id="202"/>
    </w:p>
    <w:p>
      <w:pPr>
        <w:pStyle w:val="Style28"/>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8"/>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8"/>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7"/>
        <w:rPr/>
      </w:pPr>
      <w:bookmarkStart w:id="208" w:name="_Ref130455226"/>
      <w:bookmarkStart w:id="209" w:name="_Toc228877701"/>
      <w:r>
        <w:rPr/>
        <w:t>Особенности проведения закупки с необходимостью обеспечения заявки</w:t>
      </w:r>
      <w:bookmarkEnd w:id="208"/>
      <w:bookmarkEnd w:id="209"/>
    </w:p>
    <w:p>
      <w:pPr>
        <w:pStyle w:val="Style28"/>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8"/>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8"/>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8"/>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0"/>
      </w:r>
      <w:r>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8"/>
        <w:rPr/>
      </w:pPr>
      <w:r>
        <w:rPr/>
        <w:t>В течение 1 (одного) часа с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8"/>
        <w:rPr/>
      </w:pPr>
      <w:r>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8"/>
        <w:rPr/>
      </w:pPr>
      <w:r>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8"/>
        <w:keepNext w:val="true"/>
        <w:rPr/>
      </w:pPr>
      <w:r>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9"/>
        <w:rPr/>
      </w:pPr>
      <w:r>
        <w:rPr/>
        <w:t>независимая гарантия должна быть безотзывной и безусловной (гарантия по первому требованию);</w:t>
      </w:r>
    </w:p>
    <w:p>
      <w:pPr>
        <w:pStyle w:val="Style29"/>
        <w:rPr/>
      </w:pPr>
      <w:r>
        <w:rPr/>
        <w:t>сумма независимой гарантии должна быть выражена в российских рублях и составлять не менее суммы,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9"/>
        <w:rPr/>
      </w:pPr>
      <w:r>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fldChar w:fldCharType="begin"/>
      </w:r>
      <w:r>
        <w:rPr/>
        <w:instrText xml:space="preserve"> REF _Ref132716380 \w \h </w:instrText>
      </w:r>
      <w:r>
        <w:rPr/>
        <w:fldChar w:fldCharType="separate"/>
      </w:r>
      <w:r>
        <w:rPr/>
        <w:t>4.18.8л)</w:t>
      </w:r>
      <w:r>
        <w:rPr/>
        <w:fldChar w:fldCharType="end"/>
      </w:r>
      <w:r>
        <w:rPr/>
        <w:t>);</w:t>
      </w:r>
    </w:p>
    <w:p>
      <w:pPr>
        <w:pStyle w:val="Style29"/>
        <w:rPr/>
      </w:pPr>
      <w:r>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9"/>
        <w:rPr/>
      </w:pPr>
      <w:r>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9"/>
        <w:rPr/>
      </w:pPr>
      <w:r>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9"/>
        <w:rPr/>
      </w:pPr>
      <w:r>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9"/>
        <w:rPr/>
      </w:pPr>
      <w:r>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fldChar w:fldCharType="begin"/>
      </w:r>
      <w:r>
        <w:rPr/>
        <w:instrText xml:space="preserve"> REF _Ref132716182 \r \h </w:instrText>
      </w:r>
      <w:r>
        <w:rPr/>
        <w:fldChar w:fldCharType="separate"/>
      </w:r>
      <w:r>
        <w:rPr/>
        <w:t>4.18.14</w:t>
      </w:r>
      <w:r>
        <w:rPr/>
        <w:fldChar w:fldCharType="end"/>
      </w:r>
      <w:r>
        <w:rPr/>
        <w:t>);</w:t>
      </w:r>
    </w:p>
    <w:p>
      <w:pPr>
        <w:pStyle w:val="Style29"/>
        <w:rPr/>
      </w:pPr>
      <w:r>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9"/>
        <w:rPr/>
      </w:pPr>
      <w:r>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9"/>
        <w:rPr/>
      </w:pPr>
      <w:bookmarkStart w:id="210" w:name="_Ref132716380"/>
      <w:r>
        <w:rPr/>
        <w:t>независимая гарантия должна быть выдана организацией из числа указанных в части 1 статьи 45 Закона 44-ФЗ;</w:t>
      </w:r>
      <w:bookmarkEnd w:id="210"/>
    </w:p>
    <w:p>
      <w:pPr>
        <w:pStyle w:val="Style29"/>
        <w:rPr/>
      </w:pPr>
      <w:r>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9"/>
        <w:rPr/>
      </w:pPr>
      <w:r>
        <w:rPr/>
        <w:t>информация о независимой гарантии должна быть включена в реестр независимых гарантий, предусмотренный частью 8 статьи </w:t>
      </w:r>
      <w:r>
        <w:rPr>
          <w:lang w:val="en-US"/>
        </w:rPr>
        <w:t>4</w:t>
      </w:r>
      <w:r>
        <w:rPr/>
        <w:t>5 Закона 44</w:t>
        <w:noBreakHyphen/>
        <w:t>ФЗ.</w:t>
      </w:r>
    </w:p>
    <w:p>
      <w:pPr>
        <w:pStyle w:val="Style28"/>
        <w:rPr/>
      </w:pPr>
      <w:r>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8"/>
        <w:rPr/>
      </w:pPr>
      <w:r>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8"/>
        <w:rPr/>
      </w:pPr>
      <w:r>
        <w:rPr/>
        <w:t>При многолотовой закупке (подраздел </w:t>
      </w:r>
      <w:r>
        <w:rPr/>
        <w:fldChar w:fldCharType="begin"/>
      </w:r>
      <w:r>
        <w:rPr/>
        <w:instrText xml:space="preserve"> REF _Ref149317181 \n \h </w:instrText>
      </w:r>
      <w:r>
        <w:rPr/>
        <w:fldChar w:fldCharType="separate"/>
      </w:r>
      <w:r>
        <w:rPr/>
        <w:t>4.19</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8"/>
        <w:rPr/>
      </w:pPr>
      <w:r>
        <w:rPr/>
        <w:t>Подать заявку (принять участие в закупке) могут только Участники, предоставившие надлежащее обеспечение их заявок.</w:t>
      </w:r>
    </w:p>
    <w:p>
      <w:pPr>
        <w:pStyle w:val="Style28"/>
        <w:rPr/>
      </w:pPr>
      <w:r>
        <w:rPr/>
        <w:t>Требование об обеспечении заявки в равной мере распространяется на всех Участников.</w:t>
      </w:r>
    </w:p>
    <w:p>
      <w:pPr>
        <w:pStyle w:val="Style28"/>
        <w:keepNext w:val="true"/>
        <w:rPr/>
      </w:pPr>
      <w:bookmarkStart w:id="211" w:name="_Ref132716182"/>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11"/>
    </w:p>
    <w:p>
      <w:pPr>
        <w:pStyle w:val="Style29"/>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1"/>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_Ref138341423 \r \h </w:instrText>
      </w:r>
      <w:r>
        <w:rPr/>
        <w:fldChar w:fldCharType="separate"/>
      </w:r>
      <w:r>
        <w:rPr/>
        <w:t>5.2</w:t>
      </w:r>
      <w:r>
        <w:rPr/>
        <w:fldChar w:fldCharType="end"/>
      </w:r>
      <w:r>
        <w:rPr/>
        <w:t>;</w:t>
      </w:r>
    </w:p>
    <w:p>
      <w:pPr>
        <w:pStyle w:val="Style29"/>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1"/>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1"/>
          </w:rPr>
          <w:t>Проектом договора</w:t>
        </w:r>
      </w:hyperlink>
      <w:r>
        <w:rPr/>
        <w:t>).</w:t>
      </w:r>
    </w:p>
    <w:p>
      <w:pPr>
        <w:pStyle w:val="Style28"/>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fldChar w:fldCharType="begin"/>
      </w:r>
      <w:r>
        <w:rPr/>
        <w:instrText xml:space="preserve"> REF _Ref125359973 \r \h </w:instrText>
      </w:r>
      <w:r>
        <w:rPr/>
        <w:fldChar w:fldCharType="separate"/>
      </w:r>
      <w:r>
        <w:rPr/>
        <w:t>1.2</w:t>
      </w:r>
      <w:r>
        <w:rPr/>
        <w:fldChar w:fldCharType="end"/>
      </w:r>
      <w:r>
        <w:rPr/>
        <w:t>).</w:t>
      </w:r>
    </w:p>
    <w:p>
      <w:pPr>
        <w:pStyle w:val="Style28"/>
        <w:keepNext w:val="true"/>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9"/>
        <w:rPr/>
      </w:pPr>
      <w:r>
        <w:rPr/>
        <w:t>принятия решения об отказе от проведения закупки – всем Участникам, подавшим заявки к моменту принятия такого решения;</w:t>
      </w:r>
    </w:p>
    <w:p>
      <w:pPr>
        <w:pStyle w:val="Style29"/>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9"/>
        <w:rPr/>
      </w:pPr>
      <w:r>
        <w:rPr/>
        <w:t>официального размещения итогового протокола по результатам закупки – всем Участникам, кроме Победителя;</w:t>
      </w:r>
    </w:p>
    <w:p>
      <w:pPr>
        <w:pStyle w:val="Style29"/>
        <w:rPr/>
      </w:pPr>
      <w:r>
        <w:rPr/>
        <w:t>заключения Договора по результатам закупки – Победителю, с которым заключен Договор;</w:t>
      </w:r>
    </w:p>
    <w:p>
      <w:pPr>
        <w:pStyle w:val="Style29"/>
        <w:rPr/>
      </w:pPr>
      <w:r>
        <w:rPr/>
        <w:t>признания закупки несостоявшейся – Участнику, которому обеспечение не было возвращено по иным основаниям.</w:t>
      </w:r>
    </w:p>
    <w:p>
      <w:pPr>
        <w:pStyle w:val="Style28"/>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w:t>
      </w:r>
    </w:p>
    <w:p>
      <w:pPr>
        <w:pStyle w:val="Style27"/>
        <w:rPr/>
      </w:pPr>
      <w:bookmarkStart w:id="212" w:name="_Ref130225422"/>
      <w:bookmarkStart w:id="213" w:name="_Toc228877702"/>
      <w:bookmarkStart w:id="214" w:name="_Ref149317181"/>
      <w:r>
        <w:rPr/>
        <w:t>Особенности проведения многолотовой закупки</w:t>
      </w:r>
      <w:bookmarkEnd w:id="212"/>
      <w:bookmarkEnd w:id="213"/>
      <w:bookmarkEnd w:id="214"/>
    </w:p>
    <w:p>
      <w:pPr>
        <w:pStyle w:val="Style28"/>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28"/>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8"/>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28"/>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8"/>
        <w:keepNext w:val="true"/>
        <w:rPr/>
      </w:pPr>
      <w:r>
        <w:rPr/>
        <w:t>В случае подачи заявки на несколько лотов дополнительно должны быть соблюдены следующие требования:</w:t>
      </w:r>
    </w:p>
    <w:p>
      <w:pPr>
        <w:pStyle w:val="Style29"/>
        <w:rPr/>
      </w:pPr>
      <w:r>
        <w:rPr/>
        <w:t>Письмо о подаче оферты (форма 2) (</w:t>
      </w:r>
      <w:hyperlink w:anchor="Прил04_ФормыЗаявки">
        <w:r>
          <w:rPr>
            <w:rStyle w:val="Style11"/>
          </w:rPr>
          <w:t>Приложение № 4</w:t>
        </w:r>
      </w:hyperlink>
      <w:r>
        <w:rPr/>
        <w:t>) должно содержать указание номера и названия каждого лота;</w:t>
      </w:r>
    </w:p>
    <w:p>
      <w:pPr>
        <w:pStyle w:val="Style29"/>
        <w:rPr/>
      </w:pPr>
      <w:r>
        <w:rPr/>
        <w:t xml:space="preserve">Коммерческое предложение (форма 3), Техническое предложение (форма 4), План распределения объемов поставки продукции (форма 4) – </w:t>
      </w:r>
      <w:hyperlink w:anchor="Прил04_ФормыЗаявки">
        <w:r>
          <w:rPr>
            <w:rStyle w:val="Style11"/>
          </w:rPr>
          <w:t>Приложение № 4</w:t>
        </w:r>
      </w:hyperlink>
      <w:r>
        <w:rPr/>
        <w:t>, должны быть подготовлены отдельно по каждому из лотов с указанием номера и названия лота.</w:t>
      </w:r>
    </w:p>
    <w:p>
      <w:pPr>
        <w:pStyle w:val="Style28"/>
        <w:rPr/>
      </w:pPr>
      <w:r>
        <w:rPr/>
        <w:t>Решения, принимаемые в ходе процедуры закупки, в том числе решения в рамках рассмотрения (первых частей заявок, вторых частей заявок и ценовых предложений),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35"/>
        <w:keepNext w:val="true"/>
        <w:rPr/>
      </w:pPr>
      <w:r>
        <w:rPr/>
      </w:r>
    </w:p>
    <w:p>
      <w:pPr>
        <w:pStyle w:val="Style26"/>
        <w:rPr/>
      </w:pPr>
      <w:bookmarkStart w:id="215" w:name="_Ref125367087"/>
      <w:bookmarkStart w:id="216" w:name="_Ref125361212"/>
      <w:bookmarkStart w:id="217" w:name="_Ref125363439"/>
      <w:bookmarkStart w:id="218" w:name="_Ref125362671"/>
      <w:bookmarkStart w:id="219" w:name="_Ref125367083"/>
      <w:bookmarkStart w:id="220" w:name="_Ref125366769"/>
      <w:bookmarkStart w:id="221" w:name="_Toc228877704"/>
      <w:bookmarkStart w:id="222" w:name="_Ref130224037"/>
      <w:bookmarkStart w:id="223" w:name="_Ref126142429"/>
      <w:r>
        <w:rPr/>
        <w:t>Порядок заключения Договора</w:t>
      </w:r>
      <w:bookmarkEnd w:id="215"/>
      <w:bookmarkEnd w:id="216"/>
      <w:bookmarkEnd w:id="217"/>
      <w:bookmarkEnd w:id="218"/>
      <w:bookmarkEnd w:id="219"/>
      <w:bookmarkEnd w:id="220"/>
      <w:bookmarkEnd w:id="221"/>
      <w:bookmarkEnd w:id="222"/>
      <w:bookmarkEnd w:id="223"/>
    </w:p>
    <w:p>
      <w:pPr>
        <w:pStyle w:val="Style27"/>
        <w:rPr/>
      </w:pPr>
      <w:bookmarkStart w:id="224" w:name="_Toc228877705"/>
      <w:r>
        <w:rPr/>
        <w:t>Общие положения</w:t>
      </w:r>
      <w:bookmarkEnd w:id="224"/>
    </w:p>
    <w:p>
      <w:pPr>
        <w:pStyle w:val="Style28"/>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7"/>
        <w:rPr/>
      </w:pPr>
      <w:bookmarkStart w:id="225" w:name="_Ref125368755"/>
      <w:bookmarkStart w:id="226" w:name="_Ref125366947"/>
      <w:bookmarkStart w:id="227" w:name="_Toc228877706"/>
      <w:bookmarkStart w:id="228" w:name="_Ref138341423"/>
      <w:r>
        <w:rPr/>
        <w:t>Заключение Договора</w:t>
      </w:r>
      <w:bookmarkEnd w:id="225"/>
      <w:bookmarkEnd w:id="226"/>
      <w:bookmarkEnd w:id="227"/>
      <w:bookmarkEnd w:id="228"/>
    </w:p>
    <w:p>
      <w:pPr>
        <w:pStyle w:val="Style28"/>
        <w:rPr/>
      </w:pPr>
      <w:bookmarkStart w:id="229" w:name="_Ref130293821"/>
      <w:bookmarkStart w:id="230" w:name="_Ref125362935"/>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29"/>
      <w:bookmarkEnd w:id="230"/>
    </w:p>
    <w:p>
      <w:pPr>
        <w:pStyle w:val="Style28"/>
        <w:rPr/>
      </w:pPr>
      <w:r>
        <w:rPr/>
        <w:t>Договор не может быть заключен, если это запрещено законодательством о национальном режиме.</w:t>
      </w:r>
    </w:p>
    <w:p>
      <w:pPr>
        <w:pStyle w:val="Style28"/>
        <w:rPr/>
      </w:pPr>
      <w:bookmarkStart w:id="231" w:name="_Ref125363464"/>
      <w:bookmarkEnd w:id="231"/>
      <w:r>
        <w:rPr/>
        <w:t>При осуществлении закупки товара (в том числе поставляемого Заказчику при выполнении работ, оказании услуг) в Договор при его заключении включается информация о стране происхождения товара.</w:t>
      </w:r>
    </w:p>
    <w:p>
      <w:pPr>
        <w:pStyle w:val="Style28"/>
        <w:rPr/>
      </w:pPr>
      <w:r>
        <w:rPr/>
        <w:t xml:space="preserve">В целях </w:t>
      </w:r>
      <w:r>
        <w:rPr>
          <w:rFonts w:eastAsia="Calibri" w:cs="Times New Roman"/>
        </w:rPr>
        <w:t>обеспечения дополнительной прозрачности финансово-хозяйственной деятельности сторон при</w:t>
      </w:r>
      <w:r>
        <w:rPr/>
        <w:t xml:space="preserve"> заключения Договора </w:t>
      </w:r>
      <w:r>
        <w:rPr>
          <w:rFonts w:eastAsia="Calibri" w:cs="Times New Roman"/>
        </w:rPr>
        <w:t>в части отсутствия возможного конфликта интересов между Заказчиком и</w:t>
      </w:r>
      <w:r>
        <w:rP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r>
          <w:rPr>
            <w:rStyle w:val="Style11"/>
          </w:rPr>
          <w:t>Приложением № 5</w:t>
        </w:r>
      </w:hyperlink>
      <w:r>
        <w:rPr/>
        <w:t>, с приложением подтверждающих документов согласно перечню, установленному в Приложении 1 к указанной справке, одним из способов (на выбор):</w:t>
      </w:r>
    </w:p>
    <w:p>
      <w:pPr>
        <w:pStyle w:val="Style29"/>
        <w:rPr/>
      </w:pPr>
      <w:r>
        <w:rPr/>
        <w:t>в бумажной форме: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p>
    <w:p>
      <w:pPr>
        <w:pStyle w:val="Style28"/>
        <w:rPr/>
      </w:pPr>
      <w:bookmarkStart w:id="232" w:name="_Ref125363464_Копия_1"/>
      <w:bookmarkEnd w:id="232"/>
      <w:r>
        <w:rPr/>
        <w:t>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Portable Document Format (</w:t>
      </w:r>
      <w:r>
        <w:rPr>
          <w:lang w:val="en-US"/>
        </w:rPr>
        <w:t>pdf</w:t>
      </w:r>
      <w:r>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rPr>
          <w:t>Приложением № 5</w:t>
        </w:r>
      </w:hyperlink>
      <w:r>
        <w:rPr/>
        <w:t>.</w:t>
      </w:r>
    </w:p>
    <w:p>
      <w:pPr>
        <w:pStyle w:val="Style28"/>
        <w:keepNext w:val="true"/>
        <w:rPr/>
      </w:pPr>
      <w:bookmarkStart w:id="233"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1"/>
          </w:rPr>
          <w:t>Приложение № 3</w:t>
        </w:r>
      </w:hyperlink>
      <w:r>
        <w:rPr/>
        <w:t>), следующие документы (скан-копии в формате Portable Document Format (</w:t>
      </w:r>
      <w:r>
        <w:rPr>
          <w:lang w:val="en-US"/>
        </w:rPr>
        <w:t>pdf</w:t>
      </w:r>
      <w:r>
        <w:rPr/>
        <w:t>)):</w:t>
      </w:r>
      <w:bookmarkEnd w:id="233"/>
    </w:p>
    <w:p>
      <w:pPr>
        <w:pStyle w:val="Style29"/>
        <w:keepNext w:val="true"/>
        <w:rPr/>
      </w:pPr>
      <w:r>
        <w:rPr/>
        <w:t>для юридического лица:</w:t>
      </w:r>
    </w:p>
    <w:p>
      <w:pPr>
        <w:pStyle w:val="Style30"/>
        <w:rPr/>
      </w:pPr>
      <w:r>
        <w:rPr/>
        <w:t>копия устава в действующей редакции с отметкой ИФНС либо копия нотариально заверенного устава (с отметкой нотариуса);</w:t>
      </w:r>
    </w:p>
    <w:p>
      <w:pPr>
        <w:pStyle w:val="Style30"/>
        <w:rPr/>
      </w:pPr>
      <w:bookmarkStart w:id="234"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34"/>
    </w:p>
    <w:p>
      <w:pPr>
        <w:pStyle w:val="Style30"/>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9"/>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9"/>
        <w:rPr/>
      </w:pPr>
      <w:r>
        <w:rPr/>
        <w:t>для физического лица: нотариально заверенная копия всех страниц документа, удостоверяющего личность (паспорта).</w:t>
      </w:r>
    </w:p>
    <w:p>
      <w:pPr>
        <w:pStyle w:val="Style28"/>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8"/>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8"/>
        <w:keepNext w:val="true"/>
        <w:rPr/>
      </w:pPr>
      <w:bookmarkStart w:id="235"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5"/>
    </w:p>
    <w:p>
      <w:pPr>
        <w:pStyle w:val="Style29"/>
        <w:rPr/>
      </w:pPr>
      <w:r>
        <w:rPr/>
        <w:t>итоговый протокол по результатам закупки;</w:t>
      </w:r>
    </w:p>
    <w:p>
      <w:pPr>
        <w:pStyle w:val="Style29"/>
        <w:rPr/>
      </w:pPr>
      <w:r>
        <w:rPr/>
        <w:t>Извещение и Документация о закупке со всеми изменениями;</w:t>
      </w:r>
    </w:p>
    <w:p>
      <w:pPr>
        <w:pStyle w:val="Style29"/>
        <w:rPr/>
      </w:pPr>
      <w:r>
        <w:rPr/>
        <w:t>заявка Победителя со всеми дополнениями и разъяснениями.</w:t>
      </w:r>
    </w:p>
    <w:p>
      <w:pPr>
        <w:pStyle w:val="Style28"/>
        <w:rPr/>
      </w:pPr>
      <w:r>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8"/>
        <w:rPr/>
      </w:pPr>
      <w:r>
        <w:rPr/>
        <w:t>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8"/>
        <w:rPr/>
      </w:pPr>
      <w:bookmarkStart w:id="236" w:name="_Ref49437111"/>
      <w:r>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36"/>
    </w:p>
    <w:p>
      <w:pPr>
        <w:pStyle w:val="Style28"/>
        <w:rPr/>
      </w:pPr>
      <w:bookmarkStart w:id="237" w:name="_Ref125368506"/>
      <w:r>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38" w:name="_Hlk132806825"/>
      <w:r>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38"/>
      <w:r>
        <w:rPr/>
        <w:t>.</w:t>
      </w:r>
      <w:bookmarkEnd w:id="237"/>
    </w:p>
    <w:p>
      <w:pPr>
        <w:pStyle w:val="Style28"/>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7"/>
        <w:rPr/>
      </w:pPr>
      <w:bookmarkStart w:id="239" w:name="_Ref125367068"/>
      <w:bookmarkStart w:id="240" w:name="_Toc228877707"/>
      <w:r>
        <w:rPr/>
        <w:t>Уклонение Победителя от заключения Договора</w:t>
      </w:r>
      <w:bookmarkEnd w:id="239"/>
      <w:bookmarkEnd w:id="240"/>
    </w:p>
    <w:p>
      <w:pPr>
        <w:pStyle w:val="Style28"/>
        <w:keepNext w:val="true"/>
        <w:rPr/>
      </w:pPr>
      <w:r>
        <w:rPr/>
        <w:t>Если Победитель закупки:</w:t>
      </w:r>
    </w:p>
    <w:p>
      <w:pPr>
        <w:pStyle w:val="Style29"/>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9"/>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29"/>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1"/>
          </w:rPr>
          <w:t>Приложение № 5</w:t>
        </w:r>
      </w:hyperlink>
      <w:r>
        <w:rPr/>
        <w:t>), с приложением подтверждающих документов;</w:t>
      </w:r>
    </w:p>
    <w:p>
      <w:pPr>
        <w:pStyle w:val="Style29"/>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rPr>
          <w:t>Приложением № 5</w:t>
        </w:r>
      </w:hyperlink>
      <w:r>
        <w:rPr/>
        <w:t>;</w:t>
      </w:r>
    </w:p>
    <w:p>
      <w:pPr>
        <w:pStyle w:val="Style29"/>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1"/>
          </w:rPr>
          <w:t>Приложения № 1 – Технические требования</w:t>
        </w:r>
      </w:hyperlink>
      <w:r>
        <w:rPr/>
        <w:t xml:space="preserve"> (в случае установления таковых);</w:t>
      </w:r>
    </w:p>
    <w:p>
      <w:pPr>
        <w:pStyle w:val="Style29"/>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9"/>
        <w:rPr/>
      </w:pPr>
      <w:r>
        <w:rPr/>
        <w:t>не выполнит другие условия, прямо предусмотренные Документацией о закупке,</w:t>
      </w:r>
    </w:p>
    <w:p>
      <w:pPr>
        <w:pStyle w:val="Style32"/>
        <w:ind w:left="1134" w:hanging="0"/>
        <w:rPr/>
      </w:pPr>
      <w:r>
        <w:rPr/>
        <w:t>то он (по истечению установленных в подразделе </w:t>
      </w:r>
      <w:r>
        <w:rPr/>
        <w:fldChar w:fldCharType="begin"/>
      </w:r>
      <w:r>
        <w:rPr/>
        <w:instrText xml:space="preserve"> REF _Ref138341423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6"/>
        <w:rPr/>
      </w:pPr>
      <w:bookmarkStart w:id="241" w:name="_Toc228877708"/>
      <w:bookmarkStart w:id="242" w:name="_Ref125363016"/>
      <w:bookmarkStart w:id="243" w:name="_Ref125363023"/>
      <w:bookmarkStart w:id="244" w:name="_Ref125363034"/>
      <w:bookmarkStart w:id="245" w:name="_Ref125363600"/>
      <w:bookmarkStart w:id="246" w:name="_Ref125363752"/>
      <w:bookmarkStart w:id="247" w:name="_Ref125364088"/>
      <w:bookmarkStart w:id="248" w:name="_Ref125364201"/>
      <w:bookmarkStart w:id="249" w:name="_Ref125370732"/>
      <w:bookmarkStart w:id="250" w:name="_Ref125370741"/>
      <w:bookmarkStart w:id="251" w:name="_Ref125370746"/>
      <w:bookmarkStart w:id="252" w:name="_Ref125370750"/>
      <w:bookmarkStart w:id="253" w:name="_Ref125370843"/>
      <w:bookmarkStart w:id="254" w:name="Прил01_ТехТребования"/>
      <w:r>
        <w:rPr/>
        <w:t>Приложение № 1 – Технические требования</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pPr>
        <w:pStyle w:val="Style27"/>
        <w:rPr/>
      </w:pPr>
      <w:bookmarkStart w:id="255" w:name="_Toc228877709"/>
      <w:r>
        <w:rPr/>
        <w:t>Пояснения к Техническим требованиям</w:t>
      </w:r>
      <w:bookmarkEnd w:id="255"/>
    </w:p>
    <w:p>
      <w:pPr>
        <w:pStyle w:val="Style28"/>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6"/>
        <w:rPr/>
      </w:pPr>
      <w:bookmarkStart w:id="256" w:name="_Ref125361746"/>
      <w:bookmarkStart w:id="257" w:name="_Ref125363040"/>
      <w:bookmarkStart w:id="258" w:name="_Ref125363605"/>
      <w:bookmarkStart w:id="259" w:name="_Ref125363759"/>
      <w:bookmarkStart w:id="260" w:name="_Ref125364081"/>
      <w:bookmarkStart w:id="261" w:name="_Ref125370754"/>
      <w:bookmarkStart w:id="262" w:name="_Ref125364206"/>
      <w:bookmarkStart w:id="263" w:name="_Toc228877710"/>
      <w:bookmarkStart w:id="264" w:name="Прил02_ПроектДоговора"/>
      <w:r>
        <w:rPr/>
        <w:t>Приложение № 2 – Проект договора</w:t>
      </w:r>
      <w:bookmarkEnd w:id="256"/>
      <w:bookmarkEnd w:id="257"/>
      <w:bookmarkEnd w:id="258"/>
      <w:bookmarkEnd w:id="259"/>
      <w:bookmarkEnd w:id="260"/>
      <w:bookmarkEnd w:id="261"/>
      <w:bookmarkEnd w:id="262"/>
      <w:bookmarkEnd w:id="263"/>
      <w:bookmarkEnd w:id="264"/>
    </w:p>
    <w:p>
      <w:pPr>
        <w:pStyle w:val="Style27"/>
        <w:rPr/>
      </w:pPr>
      <w:bookmarkStart w:id="265" w:name="_Toc228877711"/>
      <w:r>
        <w:rPr/>
        <w:t>Пояснения к Проекту договора</w:t>
      </w:r>
      <w:bookmarkEnd w:id="265"/>
    </w:p>
    <w:p>
      <w:pPr>
        <w:pStyle w:val="Style28"/>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8"/>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_Ref132876309 \r \h </w:instrText>
      </w:r>
      <w:r>
        <w:rPr/>
        <w:fldChar w:fldCharType="separate"/>
      </w:r>
      <w:r>
        <w:rPr/>
        <w:t>1.2</w:t>
      </w:r>
      <w:r>
        <w:rPr/>
        <w:fldChar w:fldCharType="end"/>
      </w:r>
      <w:r>
        <w:rPr/>
        <w:t xml:space="preserve"> как «Некритичные пункты Проекта договора».</w:t>
      </w:r>
    </w:p>
    <w:p>
      <w:pPr>
        <w:pStyle w:val="Style28"/>
        <w:rPr/>
      </w:pPr>
      <w:r>
        <w:rPr/>
        <w:t>В соответствии с пунктом </w:t>
      </w:r>
      <w:r>
        <w:rPr/>
        <w:fldChar w:fldCharType="begin"/>
      </w:r>
      <w:r>
        <w:rPr/>
        <w:instrText xml:space="preserve"> REF _Ref49437111 \r \h </w:instrText>
      </w:r>
      <w:r>
        <w:rPr/>
        <w:fldChar w:fldCharType="separate"/>
      </w:r>
      <w:r>
        <w:rPr/>
        <w:t>5.2.12</w:t>
      </w:r>
      <w:r>
        <w:rPr/>
        <w:fldChar w:fldCharType="end"/>
      </w:r>
      <w:r>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8"/>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66" w:name="_MON_1736255517"/>
      <w:bookmarkEnd w:id="266"/>
    </w:p>
    <w:p>
      <w:pPr>
        <w:sectPr>
          <w:headerReference w:type="default" r:id="rId10"/>
          <w:headerReference w:type="first" r:id="rId11"/>
          <w:footerReference w:type="default" r:id="rId12"/>
          <w:footerReference w:type="first" r:id="rId13"/>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32"/>
        <w:jc w:val="center"/>
        <w:rPr/>
      </w:pPr>
      <w:r>
        <w:rPr/>
        <w:object>
          <v:shapetype id="_x0000_tole_rId8" coordsize="21600,21600" o:spt="ole_rId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8" type="_x0000_tole_rId8" style="width:78.05pt;height:50.8pt;mso-wrap-distance-right:0pt" filled="f" o:ole="">
            <v:imagedata r:id="rId9" o:title=""/>
          </v:shape>
          <o:OLEObject Type="Embed" ProgID="Word.Document.12" ShapeID="ole_rId8" DrawAspect="Icon" ObjectID="_1465291746" r:id="rId8"/>
        </w:object>
      </w:r>
    </w:p>
    <w:p>
      <w:pPr>
        <w:pStyle w:val="Style26"/>
        <w:rPr/>
      </w:pPr>
      <w:bookmarkStart w:id="267" w:name="_Toc228877712"/>
      <w:bookmarkStart w:id="268" w:name="Прил03_ТребованияУчастникам"/>
      <w:bookmarkStart w:id="269" w:name="_Ref125370013"/>
      <w:bookmarkStart w:id="270" w:name="_Ref125365476"/>
      <w:bookmarkStart w:id="271" w:name="_Ref125361908"/>
      <w:bookmarkStart w:id="272" w:name="_Ref125361494"/>
      <w:r>
        <w:rPr/>
        <w:t>Приложение № 3 – Требования к Участникам</w:t>
      </w:r>
      <w:bookmarkEnd w:id="267"/>
      <w:bookmarkEnd w:id="268"/>
      <w:bookmarkEnd w:id="269"/>
      <w:bookmarkEnd w:id="270"/>
      <w:bookmarkEnd w:id="271"/>
      <w:bookmarkEnd w:id="272"/>
    </w:p>
    <w:p>
      <w:pPr>
        <w:pStyle w:val="Style27"/>
        <w:rPr/>
      </w:pPr>
      <w:bookmarkStart w:id="273" w:name="_Toc228877713"/>
      <w:r>
        <w:rPr/>
        <w:t>Пояснения к требованиям к Участникам</w:t>
      </w:r>
      <w:bookmarkEnd w:id="273"/>
    </w:p>
    <w:p>
      <w:pPr>
        <w:pStyle w:val="Style28"/>
        <w:rPr/>
      </w:pPr>
      <w:bookmarkStart w:id="274" w:name="_Hlk125628168"/>
      <w:r>
        <w:rPr/>
        <w:t>Чтобы претендовать на победу в закупке и получение права заключить Договор с Заказчиком, Участник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74"/>
    </w:p>
    <w:p>
      <w:pPr>
        <w:pStyle w:val="Style27"/>
        <w:spacing w:before="360" w:after="120"/>
        <w:rPr/>
      </w:pPr>
      <w:bookmarkStart w:id="275" w:name="_Ref125361435"/>
      <w:bookmarkStart w:id="276" w:name="_Ref125361590"/>
      <w:bookmarkStart w:id="277" w:name="_Ref125361617"/>
      <w:bookmarkStart w:id="278" w:name="_Ref125361832"/>
      <w:bookmarkStart w:id="279" w:name="_Ref125361846"/>
      <w:bookmarkStart w:id="280" w:name="_Ref125361926"/>
      <w:bookmarkStart w:id="281" w:name="_Ref125366879"/>
      <w:bookmarkStart w:id="282" w:name="_Ref125368895"/>
      <w:bookmarkStart w:id="283" w:name="_Ref125369088"/>
      <w:bookmarkStart w:id="284" w:name="_Ref125370058"/>
      <w:bookmarkStart w:id="285" w:name="_Ref125370064"/>
      <w:bookmarkStart w:id="286" w:name="_Ref125370071"/>
      <w:bookmarkStart w:id="287" w:name="_Toc228877714"/>
      <w:bookmarkStart w:id="288" w:name="_Ref125368812"/>
      <w:r>
        <w:rPr/>
        <w:t>Обязательные требования</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tbl>
      <w:tblPr>
        <w:tblStyle w:val="af9"/>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2"/>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2"/>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2"/>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2"/>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9" w:name="_Ref125552433"/>
            <w:bookmarkStart w:id="290" w:name="_Ref125552433"/>
            <w:bookmarkEnd w:id="290"/>
          </w:p>
        </w:tc>
        <w:tc>
          <w:tcPr>
            <w:tcW w:w="5671"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32"/>
              <w:widowControl w:val="false"/>
              <w:numPr>
                <w:ilvl w:val="0"/>
                <w:numId w:val="14"/>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32"/>
              <w:widowControl w:val="false"/>
              <w:numPr>
                <w:ilvl w:val="0"/>
                <w:numId w:val="15"/>
              </w:numPr>
              <w:suppressAutoHyphens w:val="true"/>
              <w:spacing w:before="60" w:after="60"/>
              <w:ind w:left="568"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Portable Document Format (*.pdf)) оригинала соответствующей доверенности либо ее нотариально заверенной копии (с указанием правомочий на подписание заявки);</w:t>
            </w:r>
          </w:p>
          <w:p>
            <w:pPr>
              <w:pStyle w:val="Style32"/>
              <w:widowControl w:val="false"/>
              <w:numPr>
                <w:ilvl w:val="0"/>
                <w:numId w:val="14"/>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32"/>
              <w:widowControl w:val="false"/>
              <w:numPr>
                <w:ilvl w:val="0"/>
                <w:numId w:val="15"/>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2"/>
              <w:widowControl w:val="false"/>
              <w:numPr>
                <w:ilvl w:val="0"/>
                <w:numId w:val="15"/>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2"/>
              <w:widowControl w:val="false"/>
              <w:numPr>
                <w:ilvl w:val="0"/>
                <w:numId w:val="15"/>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2"/>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32"/>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вместе с Заявкой на аккредитацию:</w:t>
            </w:r>
          </w:p>
          <w:p>
            <w:pPr>
              <w:pStyle w:val="Style32"/>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ab/>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32"/>
              <w:widowControl w:val="false"/>
              <w:suppressAutoHyphens w:val="true"/>
              <w:spacing w:before="60" w:after="60"/>
              <w:ind w:left="284" w:hanging="0"/>
              <w:rPr/>
            </w:pPr>
            <w:r>
              <w:rPr>
                <w:rFonts w:eastAsia="Calibri" w:cs=""/>
                <w:kern w:val="0"/>
                <w:sz w:val="26"/>
                <w:szCs w:val="22"/>
                <w:lang w:val="ru-RU" w:eastAsia="en-US" w:bidi="ar-SA"/>
              </w:rPr>
              <w:t>−</w:t>
            </w:r>
            <w:r>
              <w:rPr>
                <w:rFonts w:eastAsia="Calibri" w:cs=""/>
                <w:kern w:val="0"/>
                <w:sz w:val="26"/>
                <w:szCs w:val="22"/>
                <w:lang w:val="ru-RU" w:eastAsia="en-US" w:bidi="ar-SA"/>
              </w:rP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Данные_бухотчетность">
              <w:r>
                <w:rPr>
                  <w:rStyle w:val="Hyperlink"/>
                  <w:rFonts w:eastAsia="Calibri" w:cs=""/>
                  <w:kern w:val="0"/>
                  <w:sz w:val="26"/>
                  <w:szCs w:val="22"/>
                  <w:lang w:val="ru-RU" w:eastAsia="en-US" w:bidi="ar-SA"/>
                </w:rPr>
                <w:t>Приложении № 11</w:t>
              </w:r>
            </w:hyperlink>
            <w:r>
              <w:rPr>
                <w:rFonts w:eastAsia="Calibri" w:cs=""/>
                <w:kern w:val="0"/>
                <w:sz w:val="26"/>
                <w:szCs w:val="22"/>
                <w:lang w:val="ru-RU" w:eastAsia="en-US" w:bidi="ar-SA"/>
              </w:rPr>
              <w:t>).</w:t>
            </w:r>
          </w:p>
          <w:p>
            <w:pPr>
              <w:pStyle w:val="Style32"/>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32"/>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1" w:name="_Ref132893662"/>
            <w:bookmarkStart w:id="292" w:name="_Ref132893662"/>
            <w:bookmarkEnd w:id="292"/>
          </w:p>
        </w:tc>
        <w:tc>
          <w:tcPr>
            <w:tcW w:w="5671"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Предоставление документов не требуется.</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32"/>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3" w:name="_Ref139029906"/>
            <w:bookmarkStart w:id="294" w:name="_Ref139029906"/>
            <w:bookmarkEnd w:id="294"/>
          </w:p>
        </w:tc>
        <w:tc>
          <w:tcPr>
            <w:tcW w:w="5671"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1"/>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2"/>
            </w:r>
            <w:r>
              <w:rPr>
                <w:rFonts w:eastAsia="Calibri" w:cs=""/>
                <w:kern w:val="0"/>
                <w:sz w:val="26"/>
                <w:szCs w:val="22"/>
                <w:lang w:val="ru-RU" w:eastAsia="en-US" w:bidi="ar-SA"/>
              </w:rPr>
              <w:t>:</w:t>
            </w:r>
          </w:p>
        </w:tc>
        <w:tc>
          <w:tcPr>
            <w:tcW w:w="8327"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Предоставление документов не требуется.</w:t>
            </w:r>
          </w:p>
          <w:p>
            <w:pPr>
              <w:pStyle w:val="Style32"/>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32"/>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5" w:name="_Ref186220330"/>
            <w:bookmarkStart w:id="296" w:name="_Ref186220330"/>
            <w:bookmarkEnd w:id="296"/>
          </w:p>
        </w:tc>
        <w:tc>
          <w:tcPr>
            <w:tcW w:w="5671"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должен быть российским лицом:</w:t>
            </w:r>
          </w:p>
        </w:tc>
        <w:tc>
          <w:tcPr>
            <w:tcW w:w="8327" w:type="dxa"/>
            <w:tcBorders/>
          </w:tcPr>
          <w:p>
            <w:pPr>
              <w:pStyle w:val="Style32"/>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соответствующих сведений.</w:t>
            </w:r>
          </w:p>
          <w:p>
            <w:pPr>
              <w:pStyle w:val="Style32"/>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r>
        <w:trPr/>
        <w:tc>
          <w:tcPr>
            <w:tcW w:w="1128" w:type="dxa"/>
            <w:tcBorders/>
          </w:tcPr>
          <w:p>
            <w:pPr>
              <w:pStyle w:val="Style32"/>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7" w:name="_Ref186220335"/>
            <w:bookmarkStart w:id="298" w:name="_Ref186220335"/>
            <w:bookmarkEnd w:id="298"/>
          </w:p>
        </w:tc>
        <w:tc>
          <w:tcPr>
            <w:tcW w:w="5671"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не должен являться иностранным лицом, при наличии заявки, соответствующей всем требованиям Документации о закупке, поданной от российского лица:</w:t>
            </w:r>
          </w:p>
        </w:tc>
        <w:tc>
          <w:tcPr>
            <w:tcW w:w="8327" w:type="dxa"/>
            <w:tcBorders/>
          </w:tcPr>
          <w:p>
            <w:pPr>
              <w:pStyle w:val="Style32"/>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соответствующих сведений.</w:t>
            </w:r>
          </w:p>
          <w:p>
            <w:pPr>
              <w:pStyle w:val="Style32"/>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bl>
    <w:p>
      <w:pPr>
        <w:pStyle w:val="Style27"/>
        <w:spacing w:before="360" w:after="120"/>
        <w:rPr/>
      </w:pPr>
      <w:bookmarkStart w:id="299" w:name="_Ref125361442"/>
      <w:bookmarkStart w:id="300" w:name="_Ref125361633"/>
      <w:bookmarkStart w:id="301" w:name="_Ref125361671"/>
      <w:bookmarkStart w:id="302" w:name="_Ref125361869"/>
      <w:bookmarkStart w:id="303" w:name="_Ref125361937"/>
      <w:bookmarkStart w:id="304" w:name="_Ref125365459"/>
      <w:bookmarkStart w:id="305" w:name="_Ref125367521"/>
      <w:bookmarkStart w:id="306" w:name="_Ref125367539"/>
      <w:bookmarkStart w:id="307" w:name="_Ref125368901"/>
      <w:bookmarkStart w:id="308" w:name="_Ref125368916"/>
      <w:bookmarkStart w:id="309" w:name="_Ref125368818"/>
      <w:bookmarkStart w:id="310" w:name="_Toc228877715"/>
      <w:bookmarkStart w:id="311" w:name="_Ref125709888"/>
      <w:bookmarkStart w:id="312" w:name="_Ref125709401"/>
      <w:bookmarkStart w:id="313" w:name="_Ref125709153"/>
      <w:bookmarkStart w:id="314" w:name="_Ref125709250"/>
      <w:bookmarkStart w:id="315" w:name="_Ref125369099"/>
      <w:bookmarkStart w:id="316" w:name="_Ref125370079"/>
      <w:r>
        <w:rPr/>
        <w:t>Специальные требования</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tbl>
      <w:tblPr>
        <w:tblStyle w:val="af9"/>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2"/>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2"/>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2"/>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2"/>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Специальные требования не установлены.</w:t>
            </w:r>
          </w:p>
          <w:p>
            <w:pPr>
              <w:pStyle w:val="Style35"/>
              <w:widowControl w:val="false"/>
              <w:suppressAutoHyphens w:val="true"/>
              <w:spacing w:before="60" w:after="60"/>
              <w:rPr>
                <w:lang w:val="en-US"/>
              </w:rPr>
            </w:pPr>
            <w:r>
              <w:rPr>
                <w:lang w:val="en-US"/>
              </w:rPr>
            </w:r>
          </w:p>
        </w:tc>
        <w:tc>
          <w:tcPr>
            <w:tcW w:w="8327"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Специальные требования не установлены.</w:t>
            </w:r>
          </w:p>
          <w:p>
            <w:pPr>
              <w:pStyle w:val="Style35"/>
              <w:widowControl w:val="false"/>
              <w:suppressAutoHyphens w:val="true"/>
              <w:spacing w:before="60" w:after="60"/>
              <w:rPr>
                <w:lang w:val="en-US"/>
              </w:rPr>
            </w:pPr>
            <w:r>
              <w:rPr>
                <w:lang w:val="en-US"/>
              </w:rPr>
            </w:r>
          </w:p>
        </w:tc>
      </w:tr>
    </w:tbl>
    <w:p>
      <w:pPr>
        <w:pStyle w:val="Style27"/>
        <w:spacing w:before="360" w:after="120"/>
        <w:rPr/>
      </w:pPr>
      <w:bookmarkStart w:id="317" w:name="_Toc228877716"/>
      <w:bookmarkStart w:id="318" w:name="_Ref125361823"/>
      <w:bookmarkStart w:id="319" w:name="_Ref125362031"/>
      <w:bookmarkStart w:id="320" w:name="_Ref125369117"/>
      <w:bookmarkStart w:id="321" w:name="_Ref125370173"/>
      <w:bookmarkStart w:id="322" w:name="_Ref125370180"/>
      <w:bookmarkStart w:id="323" w:name="_Ref125370209"/>
      <w:bookmarkStart w:id="324" w:name="_Ref125709777"/>
      <w:bookmarkStart w:id="325" w:name="_Ref125709973"/>
      <w:bookmarkStart w:id="326" w:name="_Toc224743841"/>
      <w:bookmarkStart w:id="327" w:name="_Toc224743846"/>
      <w:bookmarkStart w:id="328" w:name="_Toc224743850"/>
      <w:bookmarkEnd w:id="326"/>
      <w:bookmarkEnd w:id="327"/>
      <w:bookmarkEnd w:id="328"/>
      <w:r>
        <w:rPr/>
        <w:t>Дополнительные требования к Генеральным подрядчикам</w:t>
      </w:r>
      <w:bookmarkEnd w:id="317"/>
      <w:bookmarkEnd w:id="318"/>
      <w:bookmarkEnd w:id="319"/>
      <w:bookmarkEnd w:id="320"/>
      <w:bookmarkEnd w:id="321"/>
      <w:bookmarkEnd w:id="322"/>
      <w:bookmarkEnd w:id="323"/>
      <w:bookmarkEnd w:id="324"/>
      <w:bookmarkEnd w:id="325"/>
    </w:p>
    <w:tbl>
      <w:tblPr>
        <w:tblStyle w:val="af9"/>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2"/>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2"/>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32"/>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32"/>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9" w:name="_Ref125370187"/>
            <w:bookmarkStart w:id="330" w:name="_Ref125370187"/>
            <w:bookmarkEnd w:id="330"/>
          </w:p>
        </w:tc>
        <w:tc>
          <w:tcPr>
            <w:tcW w:w="5671"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32"/>
              <w:widowControl w:val="false"/>
              <w:suppressAutoHyphens w:val="true"/>
              <w:spacing w:before="60" w:after="60"/>
              <w:rPr/>
            </w:pPr>
            <w:r>
              <w:rPr>
                <w:rFonts w:eastAsia="Calibri" w:cs=""/>
                <w:kern w:val="0"/>
                <w:sz w:val="26"/>
                <w:szCs w:val="22"/>
                <w:lang w:val="ru-RU" w:eastAsia="en-US" w:bidi="ar-SA"/>
              </w:rPr>
              <w:t>Техническое предложение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содержащие План распределения объемов поставки продукции;</w:t>
            </w:r>
          </w:p>
        </w:tc>
      </w:tr>
      <w:tr>
        <w:trPr/>
        <w:tc>
          <w:tcPr>
            <w:tcW w:w="1128" w:type="dxa"/>
            <w:tcBorders/>
          </w:tcPr>
          <w:p>
            <w:pPr>
              <w:pStyle w:val="Style32"/>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1" w:name="_Ref125370193"/>
            <w:bookmarkStart w:id="332" w:name="_Ref125370193"/>
            <w:bookmarkEnd w:id="332"/>
          </w:p>
        </w:tc>
        <w:tc>
          <w:tcPr>
            <w:tcW w:w="5671" w:type="dxa"/>
            <w:tcBorders/>
          </w:tcPr>
          <w:p>
            <w:pPr>
              <w:pStyle w:val="Style32"/>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32"/>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3" w:name="_Ref125553847"/>
            <w:bookmarkStart w:id="334" w:name="_Ref125553847"/>
            <w:bookmarkEnd w:id="334"/>
          </w:p>
        </w:tc>
        <w:tc>
          <w:tcPr>
            <w:tcW w:w="5671"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327" w:type="dxa"/>
            <w:tcBorders/>
          </w:tcPr>
          <w:p>
            <w:pPr>
              <w:pStyle w:val="Style32"/>
              <w:widowControl w:val="false"/>
              <w:suppressAutoHyphens w:val="true"/>
              <w:spacing w:before="60" w:after="60"/>
              <w:rPr>
                <w:rStyle w:val="Style8"/>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tc>
      </w:tr>
    </w:tbl>
    <w:p>
      <w:pPr>
        <w:sectPr>
          <w:headerReference w:type="default" r:id="rId14"/>
          <w:headerReference w:type="first" r:id="rId15"/>
          <w:footerReference w:type="default" r:id="rId16"/>
          <w:footerReference w:type="first" r:id="rId17"/>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6"/>
        <w:rPr/>
      </w:pPr>
      <w:bookmarkStart w:id="335" w:name="_Toc228877717"/>
      <w:bookmarkStart w:id="336" w:name="Прил04_ФормыЗаявки"/>
      <w:bookmarkEnd w:id="336"/>
      <w:r>
        <w:rPr/>
        <w:t>Приложение № 4 – Образцы форм документов, включаемых в состав заявки</w:t>
      </w:r>
      <w:bookmarkEnd w:id="335"/>
    </w:p>
    <w:p>
      <w:pPr>
        <w:pStyle w:val="Style27"/>
        <w:rPr/>
      </w:pPr>
      <w:bookmarkStart w:id="337" w:name="_Toc228877718"/>
      <w:r>
        <w:rPr/>
        <w:t>Пояснения к Образцам форм документов, включаемых в состав заявки</w:t>
      </w:r>
      <w:bookmarkEnd w:id="337"/>
    </w:p>
    <w:p>
      <w:pPr>
        <w:pStyle w:val="Style28"/>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 Участник при подготовке заявки обязан придерживаться установленных форм документов.</w:t>
      </w:r>
    </w:p>
    <w:p>
      <w:pPr>
        <w:pStyle w:val="Style26"/>
        <w:rPr/>
      </w:pPr>
      <w:bookmarkStart w:id="338" w:name="_Toc228877719"/>
      <w:bookmarkStart w:id="339" w:name="Прил05_ФормыПобедителя"/>
      <w:bookmarkEnd w:id="339"/>
      <w:r>
        <w:rPr/>
        <w:t>Приложение № 5 – Образцы форм документов, предоставляемых Победителем</w:t>
      </w:r>
      <w:bookmarkEnd w:id="338"/>
    </w:p>
    <w:p>
      <w:pPr>
        <w:pStyle w:val="Style27"/>
        <w:rPr/>
      </w:pPr>
      <w:bookmarkStart w:id="340" w:name="_Toc228877720"/>
      <w:r>
        <w:rPr/>
        <w:t>Пояснения к Образцам форм документов, предоставляемых Победителем</w:t>
      </w:r>
      <w:bookmarkEnd w:id="340"/>
    </w:p>
    <w:p>
      <w:pPr>
        <w:pStyle w:val="Style28"/>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7"/>
        <w:rPr/>
      </w:pPr>
      <w:bookmarkStart w:id="341" w:name="_Toc228877721"/>
      <w:bookmarkStart w:id="342" w:name="_Ref130395470"/>
      <w:r>
        <w:rPr/>
        <w:t>Форма справки «Сведения о цепочке собственников, включая бенефициаров (в том числе конечных)»</w:t>
      </w:r>
      <w:bookmarkEnd w:id="341"/>
      <w:bookmarkEnd w:id="342"/>
    </w:p>
    <w:p>
      <w:pPr>
        <w:pStyle w:val="Style28"/>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8"/>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343" w:name="_MON_1805621314"/>
    </w:p>
    <w:p>
      <w:pPr>
        <w:pStyle w:val="Style32"/>
        <w:jc w:val="center"/>
        <w:rPr/>
      </w:pPr>
      <w:bookmarkEnd w:id="343"/>
      <w:r>
        <w:rPr/>
        <w:object>
          <v:shapetype id="_x0000_tole_rId18" coordsize="21600,21600" o:spt="ole_rId1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8" type="_x0000_tole_rId18" style="width:75.65pt;height:48.4pt;mso-wrap-distance-right:0pt" filled="f" o:ole="">
            <v:imagedata r:id="rId19" o:title=""/>
          </v:shape>
          <o:OLEObject Type="Embed" ProgID="Word.Document.12" ShapeID="ole_rId18" DrawAspect="Icon" ObjectID="_1013131807" r:id="rId18"/>
        </w:object>
      </w:r>
    </w:p>
    <w:p>
      <w:pPr>
        <w:pStyle w:val="Style27"/>
        <w:rPr/>
      </w:pPr>
      <w:bookmarkStart w:id="344" w:name="_Toc228877722"/>
      <w:bookmarkStart w:id="345" w:name="_Ref130395475"/>
      <w:r>
        <w:rPr/>
        <w:t>Форма «Заверение об обстоятельствах»</w:t>
      </w:r>
      <w:bookmarkEnd w:id="344"/>
      <w:bookmarkEnd w:id="345"/>
    </w:p>
    <w:p>
      <w:pPr>
        <w:pStyle w:val="Style28"/>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8"/>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8"/>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8"/>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346" w:name="_MON_1741074184"/>
    </w:p>
    <w:p>
      <w:pPr>
        <w:pStyle w:val="Style32"/>
        <w:spacing w:before="120" w:after="120"/>
        <w:jc w:val="center"/>
        <w:rPr/>
      </w:pPr>
      <w:bookmarkEnd w:id="346"/>
      <w:r>
        <w:rPr/>
        <w:object>
          <v:shapetype id="_x0000_tole_rId20" coordsize="21600,21600" o:spt="ole_rId2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0" type="_x0000_tole_rId20" style="width:78.05pt;height:52.05pt;mso-wrap-distance-right:0pt;mso-wrap-distance-bottom:6pt" filled="f" o:ole="">
            <v:imagedata r:id="rId21" o:title=""/>
          </v:shape>
          <o:OLEObject Type="Embed" ProgID="Word.Document.12" ShapeID="ole_rId20" DrawAspect="Icon" ObjectID="_1728808225" r:id="rId20"/>
        </w:object>
      </w:r>
    </w:p>
    <w:p>
      <w:pPr>
        <w:pStyle w:val="Style26"/>
        <w:rPr/>
      </w:pPr>
      <w:bookmarkStart w:id="347" w:name="_Ref125362865"/>
      <w:bookmarkStart w:id="348" w:name="_Ref125362900"/>
      <w:bookmarkStart w:id="349" w:name="_Toc228877723"/>
      <w:bookmarkStart w:id="350" w:name="Прил06_СоставЗаявки"/>
      <w:bookmarkEnd w:id="350"/>
      <w:r>
        <w:rPr/>
        <w:t>Приложение № 6 – Состав заявки</w:t>
      </w:r>
      <w:bookmarkEnd w:id="347"/>
      <w:bookmarkEnd w:id="348"/>
      <w:bookmarkEnd w:id="349"/>
    </w:p>
    <w:p>
      <w:pPr>
        <w:pStyle w:val="Style27"/>
        <w:rPr/>
      </w:pPr>
      <w:bookmarkStart w:id="351" w:name="_Toc228877724"/>
      <w:r>
        <w:rPr/>
        <w:t>Состав заявки</w:t>
      </w:r>
      <w:bookmarkEnd w:id="351"/>
    </w:p>
    <w:p>
      <w:pPr>
        <w:pStyle w:val="Style28"/>
        <w:spacing w:before="120" w:after="120"/>
        <w:rPr/>
      </w:pPr>
      <w:r>
        <w:rPr/>
        <w:t xml:space="preserve">Заявка на участие в закупке должна состоять из первой части, второй части и ценового предложения, которые должны содержать следующий комплект документов (по установленным формам и в соответствии с инструкциями, приведенными в </w:t>
      </w:r>
      <w:hyperlink w:anchor="Прил04_ФормыЗаявки">
        <w:r>
          <w:rPr>
            <w:rStyle w:val="Style11"/>
          </w:rPr>
          <w:t>Приложении № 4</w:t>
        </w:r>
      </w:hyperlink>
      <w:r>
        <w:rPr/>
        <w:t>):</w:t>
      </w:r>
    </w:p>
    <w:tbl>
      <w:tblPr>
        <w:tblStyle w:val="af9"/>
        <w:tblW w:w="8783" w:type="dxa"/>
        <w:jc w:val="left"/>
        <w:tblInd w:w="1191"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32"/>
              <w:keepNext w:val="true"/>
              <w:widowControl w:val="false"/>
              <w:suppressAutoHyphens w:val="true"/>
              <w:spacing w:before="60" w:after="60"/>
              <w:ind w:left="360" w:hanging="0"/>
              <w:jc w:val="center"/>
              <w:rPr>
                <w:b/>
                <w:bCs/>
              </w:rPr>
            </w:pPr>
            <w:r>
              <w:rPr>
                <w:b/>
                <w:bCs/>
              </w:rPr>
            </w:r>
          </w:p>
        </w:tc>
        <w:tc>
          <w:tcPr>
            <w:tcW w:w="8075" w:type="dxa"/>
            <w:tcBorders/>
          </w:tcPr>
          <w:p>
            <w:pPr>
              <w:pStyle w:val="Style32"/>
              <w:keepNext w:val="true"/>
              <w:widowControl w:val="false"/>
              <w:suppressAutoHyphens w:val="true"/>
              <w:spacing w:before="60" w:after="60"/>
              <w:rPr>
                <w:b/>
                <w:bCs/>
              </w:rPr>
            </w:pPr>
            <w:r>
              <w:rPr>
                <w:rFonts w:eastAsia="Calibri" w:cs=""/>
                <w:b/>
                <w:bCs/>
                <w:kern w:val="0"/>
                <w:sz w:val="26"/>
                <w:szCs w:val="22"/>
                <w:lang w:val="ru-RU" w:eastAsia="en-US" w:bidi="ar-SA"/>
              </w:rPr>
              <w:t>Первая часть заявки:</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
                <w:i/>
                <w:iCs/>
                <w:kern w:val="0"/>
                <w:sz w:val="26"/>
                <w:szCs w:val="22"/>
                <w:lang w:val="ru-RU" w:eastAsia="en-US" w:bidi="ar-SA"/>
              </w:rPr>
              <w:t>(без указания сведений, позволяющих каким-либо образом идентифицировать генерального подрядчика или привлекаемого им субподрядчика / соисполнителя)</w:t>
            </w:r>
            <w:r>
              <w:rPr>
                <w:rFonts w:eastAsia="Calibri" w:cs=""/>
                <w:kern w:val="0"/>
                <w:sz w:val="26"/>
                <w:szCs w:val="22"/>
                <w:lang w:val="ru-RU" w:eastAsia="en-US" w:bidi="ar-SA"/>
              </w:rPr>
              <w:t>;</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
                <w:i/>
                <w:iCs/>
                <w:kern w:val="0"/>
                <w:sz w:val="26"/>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
                <w:kern w:val="0"/>
                <w:sz w:val="26"/>
                <w:szCs w:val="22"/>
                <w:lang w:val="ru-RU" w:eastAsia="en-US" w:bidi="ar-SA"/>
              </w:rPr>
              <w:t>;</w:t>
            </w:r>
          </w:p>
        </w:tc>
      </w:tr>
      <w:tr>
        <w:trPr/>
        <w:tc>
          <w:tcPr>
            <w:tcW w:w="707" w:type="dxa"/>
            <w:tcBorders/>
          </w:tcPr>
          <w:p>
            <w:pPr>
              <w:pStyle w:val="Style32"/>
              <w:keepNext w:val="true"/>
              <w:widowControl w:val="false"/>
              <w:suppressAutoHyphens w:val="true"/>
              <w:spacing w:before="60" w:after="60"/>
              <w:ind w:left="360" w:hanging="0"/>
              <w:jc w:val="center"/>
              <w:rPr>
                <w:b/>
                <w:bCs/>
              </w:rPr>
            </w:pPr>
            <w:r>
              <w:rPr>
                <w:b/>
                <w:bCs/>
              </w:rPr>
            </w:r>
          </w:p>
        </w:tc>
        <w:tc>
          <w:tcPr>
            <w:tcW w:w="8075" w:type="dxa"/>
            <w:tcBorders/>
          </w:tcPr>
          <w:p>
            <w:pPr>
              <w:pStyle w:val="Style32"/>
              <w:keepNext w:val="true"/>
              <w:widowControl w:val="false"/>
              <w:suppressAutoHyphens w:val="true"/>
              <w:spacing w:before="60" w:after="60"/>
              <w:rPr>
                <w:b/>
                <w:bCs/>
              </w:rPr>
            </w:pPr>
            <w:r>
              <w:rPr>
                <w:rFonts w:eastAsia="Calibri" w:cs=""/>
                <w:b/>
                <w:bCs/>
                <w:kern w:val="0"/>
                <w:sz w:val="26"/>
                <w:szCs w:val="22"/>
                <w:lang w:val="ru-RU" w:eastAsia="en-US" w:bidi="ar-SA"/>
              </w:rPr>
              <w:t>Вторая часть заявки:</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5);</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2"/>
              <w:widowControl w:val="false"/>
              <w:numPr>
                <w:ilvl w:val="0"/>
                <w:numId w:val="7"/>
              </w:numPr>
              <w:suppressAutoHyphens w:val="true"/>
              <w:spacing w:before="60" w:after="60"/>
              <w:ind w:left="284" w:hanging="284"/>
              <w:rPr/>
            </w:pPr>
            <w:r>
              <w:rPr>
                <w:rFonts w:eastAsia="Calibri" w:cs=""/>
                <w:kern w:val="0"/>
                <w:sz w:val="26"/>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2"/>
              <w:widowControl w:val="false"/>
              <w:numPr>
                <w:ilvl w:val="0"/>
                <w:numId w:val="7"/>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2" w:name="_Ref132888537"/>
            <w:bookmarkStart w:id="353" w:name="_Ref132888537"/>
            <w:bookmarkEnd w:id="353"/>
          </w:p>
        </w:tc>
        <w:tc>
          <w:tcPr>
            <w:tcW w:w="8075"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4" w:name="_Ref130389408"/>
            <w:bookmarkStart w:id="355" w:name="_Ref130389408"/>
            <w:bookmarkEnd w:id="355"/>
          </w:p>
        </w:tc>
        <w:tc>
          <w:tcPr>
            <w:tcW w:w="8075"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Справка об опыте Участника (форма 6),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6" w:name="_Ref130389413"/>
            <w:bookmarkStart w:id="357" w:name="_Ref130389413"/>
            <w:bookmarkEnd w:id="357"/>
          </w:p>
        </w:tc>
        <w:tc>
          <w:tcPr>
            <w:tcW w:w="8075"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Справка о материально-технических ресурсах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8" w:name="_Ref130389419"/>
            <w:bookmarkStart w:id="359" w:name="_Ref130389419"/>
            <w:bookmarkEnd w:id="359"/>
          </w:p>
        </w:tc>
        <w:tc>
          <w:tcPr>
            <w:tcW w:w="8075"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Справка о кадровых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9) – предоставляется, если Участники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32"/>
              <w:keepNext w:val="true"/>
              <w:widowControl w:val="false"/>
              <w:suppressAutoHyphens w:val="true"/>
              <w:spacing w:before="60" w:after="60"/>
              <w:ind w:left="360" w:hanging="0"/>
              <w:jc w:val="center"/>
              <w:rPr>
                <w:b/>
                <w:bCs/>
              </w:rPr>
            </w:pPr>
            <w:r>
              <w:rPr>
                <w:b/>
                <w:bCs/>
              </w:rPr>
            </w:r>
          </w:p>
        </w:tc>
        <w:tc>
          <w:tcPr>
            <w:tcW w:w="8075" w:type="dxa"/>
            <w:tcBorders/>
          </w:tcPr>
          <w:p>
            <w:pPr>
              <w:pStyle w:val="Style32"/>
              <w:keepNext w:val="true"/>
              <w:widowControl w:val="false"/>
              <w:suppressAutoHyphens w:val="true"/>
              <w:spacing w:before="60" w:after="60"/>
              <w:rPr>
                <w:b/>
                <w:bCs/>
              </w:rPr>
            </w:pPr>
            <w:r>
              <w:rPr>
                <w:rFonts w:eastAsia="Calibri" w:cs=""/>
                <w:b/>
                <w:bCs/>
                <w:kern w:val="0"/>
                <w:sz w:val="26"/>
                <w:szCs w:val="22"/>
                <w:lang w:val="ru-RU" w:eastAsia="en-US" w:bidi="ar-SA"/>
              </w:rPr>
              <w:t>Ценовое предложение:</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32"/>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1"/>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22"/>
          <w:headerReference w:type="first" r:id="rId23"/>
          <w:footerReference w:type="default" r:id="rId24"/>
          <w:footerReference w:type="first" r:id="rId25"/>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8"/>
        <w:rPr>
          <w:rStyle w:val="Style8"/>
          <w:i w:val="false"/>
          <w:i w:val="false"/>
          <w:iCs w:val="false"/>
          <w:shd w:fill="auto" w:val="clear"/>
        </w:rPr>
      </w:pPr>
      <w:r>
        <w:rPr>
          <w:rStyle w:val="Style8"/>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6"/>
        <w:rPr/>
      </w:pPr>
      <w:bookmarkStart w:id="360" w:name="_Ref125365264"/>
      <w:bookmarkStart w:id="361" w:name="_Toc228877725"/>
      <w:bookmarkStart w:id="362" w:name="Прил07_ОтборочныеКритерии"/>
      <w:bookmarkEnd w:id="362"/>
      <w:r>
        <w:rPr/>
        <w:t>Приложение № 7 – Отборочные критерии рассмотрения заявок</w:t>
      </w:r>
      <w:bookmarkEnd w:id="360"/>
      <w:bookmarkEnd w:id="361"/>
    </w:p>
    <w:p>
      <w:pPr>
        <w:pStyle w:val="Style27"/>
        <w:spacing w:before="360" w:after="120"/>
        <w:rPr>
          <w:rStyle w:val="Style8"/>
          <w:i w:val="false"/>
          <w:i w:val="false"/>
          <w:iCs w:val="false"/>
          <w:shd w:fill="auto" w:val="clear"/>
        </w:rPr>
      </w:pPr>
      <w:bookmarkStart w:id="363" w:name="_Toc228877726"/>
      <w:r>
        <w:rPr>
          <w:rStyle w:val="Style8"/>
          <w:i w:val="false"/>
          <w:iCs w:val="false"/>
          <w:shd w:fill="auto" w:val="clear"/>
        </w:rPr>
        <w:t>Отборочные критерии рассмотрения первых частей заявок</w:t>
      </w:r>
      <w:bookmarkEnd w:id="363"/>
    </w:p>
    <w:tbl>
      <w:tblPr>
        <w:tblStyle w:val="af9"/>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32"/>
              <w:keepNext w:val="true"/>
              <w:widowControl w:val="false"/>
              <w:suppressAutoHyphens w:val="true"/>
              <w:spacing w:before="60" w:after="60"/>
              <w:rPr>
                <w:b/>
                <w:bCs/>
              </w:rPr>
            </w:pPr>
            <w:r>
              <w:rPr>
                <w:rFonts w:eastAsia="Calibri" w:cs=""/>
                <w:b/>
                <w:bCs/>
                <w:kern w:val="0"/>
                <w:sz w:val="26"/>
                <w:szCs w:val="22"/>
                <w:lang w:val="ru-RU" w:eastAsia="en-US" w:bidi="ar-SA"/>
              </w:rPr>
              <w:t>Состав и правильность оформления первой части заявки, в том числе:</w:t>
            </w:r>
          </w:p>
        </w:tc>
        <w:tc>
          <w:tcPr>
            <w:tcW w:w="3117" w:type="dxa"/>
            <w:tcBorders/>
          </w:tcPr>
          <w:p>
            <w:pPr>
              <w:pStyle w:val="Style32"/>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2"/>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2"/>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языка заявки)</w:t>
            </w:r>
          </w:p>
        </w:tc>
        <w:tc>
          <w:tcPr>
            <w:tcW w:w="3117" w:type="dxa"/>
            <w:tcBorders/>
          </w:tcPr>
          <w:p>
            <w:pPr>
              <w:pStyle w:val="Style32"/>
              <w:widowControl w:val="false"/>
              <w:suppressAutoHyphens w:val="true"/>
              <w:spacing w:before="60" w:after="60"/>
              <w:jc w:val="center"/>
              <w:rPr>
                <w:rStyle w:val="Style11"/>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2"/>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7"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2"/>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первой части заявки сведений об Участнике и (или) о его ценовом предложении</w:t>
            </w:r>
          </w:p>
        </w:tc>
        <w:tc>
          <w:tcPr>
            <w:tcW w:w="3117"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32"/>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32"/>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2"/>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2"/>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tc>
        <w:tc>
          <w:tcPr>
            <w:tcW w:w="311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2"/>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tc>
        <w:tc>
          <w:tcPr>
            <w:tcW w:w="311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2"/>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Соответствие сроков (и (или) этапов) реализации Договора, предложенных Участником в Техническом предложении, указанным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1"/>
                  <w:rFonts w:eastAsia="Calibri" w:cs=""/>
                  <w:kern w:val="0"/>
                  <w:sz w:val="26"/>
                  <w:szCs w:val="22"/>
                  <w:lang w:val="ru-RU" w:eastAsia="en-US" w:bidi="ar-SA"/>
                </w:rPr>
                <w:t>Проекте договора (Приложение № 2)</w:t>
              </w:r>
            </w:hyperlink>
            <w:r>
              <w:rPr>
                <w:rFonts w:eastAsia="Calibri" w:cs=""/>
                <w:kern w:val="0"/>
                <w:sz w:val="26"/>
                <w:szCs w:val="22"/>
                <w:lang w:val="ru-RU" w:eastAsia="en-US" w:bidi="ar-SA"/>
              </w:rPr>
              <w:t>, или согласие с ними в Письме о подаче оферты</w:t>
            </w:r>
          </w:p>
        </w:tc>
        <w:tc>
          <w:tcPr>
            <w:tcW w:w="3117" w:type="dxa"/>
            <w:tcBorders/>
          </w:tcPr>
          <w:p>
            <w:pPr>
              <w:pStyle w:val="Style32"/>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1"/>
                  <w:rFonts w:eastAsia="Calibri" w:cs=""/>
                  <w:kern w:val="0"/>
                  <w:sz w:val="26"/>
                  <w:szCs w:val="22"/>
                  <w:lang w:val="ru-RU" w:eastAsia="en-US" w:bidi="ar-SA"/>
                </w:rPr>
                <w:t>Приложение № 2</w:t>
              </w:r>
            </w:hyperlink>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2"/>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1"/>
                  <w:rFonts w:eastAsia="Calibri" w:cs=""/>
                  <w:kern w:val="0"/>
                  <w:sz w:val="26"/>
                  <w:szCs w:val="22"/>
                  <w:lang w:val="ru-RU" w:eastAsia="en-US" w:bidi="ar-SA"/>
                </w:rPr>
                <w:t>Проекте договора (Приложение № 2)</w:t>
              </w:r>
            </w:hyperlink>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2"/>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1"/>
                  <w:rFonts w:eastAsia="Calibri" w:cs=""/>
                  <w:kern w:val="0"/>
                  <w:sz w:val="26"/>
                  <w:szCs w:val="22"/>
                  <w:lang w:val="ru-RU" w:eastAsia="en-US" w:bidi="ar-SA"/>
                </w:rPr>
                <w:t>Приложение № 2</w:t>
              </w:r>
            </w:hyperlink>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2"/>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 / сведений</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2"/>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bl>
    <w:p>
      <w:pPr>
        <w:pStyle w:val="Style27"/>
        <w:spacing w:before="360" w:after="120"/>
        <w:rPr>
          <w:rStyle w:val="Style8"/>
          <w:i w:val="false"/>
          <w:i w:val="false"/>
          <w:iCs w:val="false"/>
          <w:shd w:fill="auto" w:val="clear"/>
        </w:rPr>
      </w:pPr>
      <w:bookmarkStart w:id="364" w:name="_Hlk132891087"/>
      <w:bookmarkStart w:id="365" w:name="_Toc228877728"/>
      <w:r>
        <w:rPr>
          <w:rStyle w:val="Style8"/>
          <w:i w:val="false"/>
          <w:iCs w:val="false"/>
          <w:shd w:fill="auto" w:val="clear"/>
        </w:rPr>
        <w:t>Отборочные критерии рассмотрения вторых частей заявок</w:t>
      </w:r>
      <w:bookmarkEnd w:id="364"/>
      <w:bookmarkEnd w:id="365"/>
    </w:p>
    <w:tbl>
      <w:tblPr>
        <w:tblStyle w:val="af9"/>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400"/>
        <w:gridCol w:w="8094"/>
        <w:gridCol w:w="3567"/>
        <w:gridCol w:w="2064"/>
      </w:tblGrid>
      <w:tr>
        <w:trPr>
          <w:cnfStyle w:val="100000000000" w:firstRow="1" w:lastRow="0" w:firstColumn="0" w:lastColumn="0" w:oddVBand="0" w:evenVBand="0" w:oddHBand="0" w:evenHBand="0" w:firstRowFirstColumn="0" w:firstRowLastColumn="0" w:lastRowFirstColumn="0" w:lastRowLastColumn="0"/>
        </w:trPr>
        <w:tc>
          <w:tcPr>
            <w:tcW w:w="1400"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094"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567"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64"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494" w:type="dxa"/>
            <w:gridSpan w:val="2"/>
            <w:tcBorders/>
          </w:tcPr>
          <w:p>
            <w:pPr>
              <w:pStyle w:val="Style32"/>
              <w:keepNext w:val="true"/>
              <w:widowControl w:val="false"/>
              <w:suppressAutoHyphens w:val="true"/>
              <w:spacing w:before="60" w:after="60"/>
              <w:rPr>
                <w:b/>
                <w:bCs/>
              </w:rPr>
            </w:pPr>
            <w:r>
              <w:rPr>
                <w:rFonts w:eastAsia="Calibri" w:cs=""/>
                <w:b/>
                <w:bCs/>
                <w:kern w:val="0"/>
                <w:sz w:val="26"/>
                <w:szCs w:val="22"/>
                <w:lang w:val="ru-RU" w:eastAsia="en-US" w:bidi="ar-SA"/>
              </w:rPr>
              <w:t>Состав и правильность оформления второй части заявки, в том числе:</w:t>
            </w:r>
          </w:p>
        </w:tc>
        <w:tc>
          <w:tcPr>
            <w:tcW w:w="3567" w:type="dxa"/>
            <w:tcBorders/>
          </w:tcPr>
          <w:p>
            <w:pPr>
              <w:pStyle w:val="Style32"/>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64" w:type="dxa"/>
            <w:tcBorders/>
          </w:tcPr>
          <w:p>
            <w:pPr>
              <w:pStyle w:val="Style32"/>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567" w:type="dxa"/>
            <w:tcBorders/>
          </w:tcPr>
          <w:p>
            <w:pPr>
              <w:pStyle w:val="Style32"/>
              <w:widowControl w:val="false"/>
              <w:suppressAutoHyphens w:val="true"/>
              <w:spacing w:before="60" w:after="60"/>
              <w:jc w:val="center"/>
              <w:rPr>
                <w:rStyle w:val="Style11"/>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1"/>
                  <w:rFonts w:eastAsia="Calibri" w:cs=""/>
                  <w:kern w:val="0"/>
                  <w:sz w:val="26"/>
                  <w:szCs w:val="22"/>
                  <w:lang w:val="ru-RU" w:eastAsia="en-US" w:bidi="ar-SA"/>
                </w:rPr>
                <w:t>Приложение № 6</w:t>
              </w:r>
            </w:hyperlink>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6" w:name="_Ref132890414"/>
            <w:bookmarkStart w:id="367" w:name="_Ref132890414"/>
            <w:bookmarkEnd w:id="367"/>
          </w:p>
        </w:tc>
        <w:tc>
          <w:tcPr>
            <w:tcW w:w="8094"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3567"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4.18</w:t>
            </w:r>
            <w:r>
              <w:rPr>
                <w:sz w:val="26"/>
                <w:kern w:val="0"/>
                <w:szCs w:val="22"/>
                <w:rFonts w:eastAsia="Calibri" w:cs=""/>
                <w:lang w:val="ru-RU" w:eastAsia="en-US" w:bidi="ar-SA"/>
              </w:rPr>
              <w:fldChar w:fldCharType="end"/>
            </w:r>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 в части наличия сведений в реестре,</w:t>
            </w:r>
          </w:p>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Фин – в части соответствия</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567"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9494" w:type="dxa"/>
            <w:gridSpan w:val="2"/>
            <w:tcBorders/>
          </w:tcPr>
          <w:p>
            <w:pPr>
              <w:pStyle w:val="Style32"/>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567" w:type="dxa"/>
            <w:tcBorders/>
          </w:tcPr>
          <w:p>
            <w:pPr>
              <w:pStyle w:val="Style32"/>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64" w:type="dxa"/>
            <w:tcBorders/>
          </w:tcPr>
          <w:p>
            <w:pPr>
              <w:pStyle w:val="Style32"/>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356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494" w:type="dxa"/>
            <w:gridSpan w:val="2"/>
            <w:tcBorders/>
          </w:tcPr>
          <w:p>
            <w:pPr>
              <w:pStyle w:val="Style32"/>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567" w:type="dxa"/>
            <w:tcBorders/>
          </w:tcPr>
          <w:p>
            <w:pPr>
              <w:pStyle w:val="Style32"/>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64" w:type="dxa"/>
            <w:tcBorders/>
          </w:tcPr>
          <w:p>
            <w:pPr>
              <w:pStyle w:val="Style32"/>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2"/>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_Ref138341423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56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_Ref132893662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56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3 обязательных требований к Участникам</w:t>
            </w:r>
          </w:p>
        </w:tc>
        <w:tc>
          <w:tcPr>
            <w:tcW w:w="356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_Ref186220330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2"/>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_Ref186219943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56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подразделы</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_Ref186219943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r>
              <w:rPr>
                <w:rFonts w:eastAsia="Calibri" w:cs=""/>
                <w:kern w:val="0"/>
                <w:sz w:val="26"/>
                <w:szCs w:val="22"/>
                <w:lang w:val="ru-RU" w:eastAsia="en-US" w:bidi="ar-SA"/>
              </w:rPr>
              <w:t>,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_Ref186220335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2"/>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_Ref186219943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56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 xml:space="preserve">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_Ref186219943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r>
              <w:rPr>
                <w:rFonts w:eastAsia="Calibri" w:cs=""/>
                <w:kern w:val="0"/>
                <w:sz w:val="26"/>
                <w:szCs w:val="22"/>
                <w:lang w:val="ru-RU" w:eastAsia="en-US" w:bidi="ar-SA"/>
              </w:rPr>
              <w:t>,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56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32"/>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и заявка подана от его лица)</w:t>
            </w:r>
          </w:p>
        </w:tc>
        <w:tc>
          <w:tcPr>
            <w:tcW w:w="3567"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00" w:type="dxa"/>
            <w:tcBorders/>
          </w:tcPr>
          <w:p>
            <w:pPr>
              <w:pStyle w:val="Style32"/>
              <w:widowControl w:val="false"/>
              <w:numPr>
                <w:ilvl w:val="1"/>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numPr>
                <w:ilvl w:val="0"/>
                <w:numId w:val="7"/>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56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00" w:type="dxa"/>
            <w:tcBorders/>
          </w:tcPr>
          <w:p>
            <w:pPr>
              <w:pStyle w:val="Style32"/>
              <w:widowControl w:val="false"/>
              <w:numPr>
                <w:ilvl w:val="1"/>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numPr>
                <w:ilvl w:val="0"/>
                <w:numId w:val="7"/>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56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9494" w:type="dxa"/>
            <w:gridSpan w:val="2"/>
            <w:tcBorders/>
          </w:tcPr>
          <w:p>
            <w:pPr>
              <w:pStyle w:val="Style32"/>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567" w:type="dxa"/>
            <w:tcBorders/>
          </w:tcPr>
          <w:p>
            <w:pPr>
              <w:pStyle w:val="Style32"/>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64" w:type="dxa"/>
            <w:tcBorders/>
          </w:tcPr>
          <w:p>
            <w:pPr>
              <w:pStyle w:val="Style32"/>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предложения требованиям к стране происхождения поставляемого товара, установленным в Технических требованиях</w:t>
            </w:r>
          </w:p>
          <w:p>
            <w:pPr>
              <w:pStyle w:val="Style32"/>
              <w:widowControl w:val="false"/>
              <w:suppressAutoHyphens w:val="true"/>
              <w:spacing w:before="60" w:after="60"/>
              <w:rPr>
                <w:rFonts w:ascii="Times New Roman" w:hAnsi="Times New Roman" w:eastAsia="Calibri" w:cs=""/>
                <w:kern w:val="0"/>
                <w:sz w:val="26"/>
                <w:szCs w:val="22"/>
                <w:lang w:eastAsia="en-US" w:bidi="ar-SA"/>
              </w:rPr>
            </w:pPr>
            <w:r>
              <w:rPr>
                <w:rFonts w:eastAsia="Calibri" w:cs=""/>
                <w:i/>
                <w:iCs/>
                <w:kern w:val="0"/>
                <w:sz w:val="26"/>
                <w:szCs w:val="22"/>
                <w:lang w:val="ru-RU" w:eastAsia="en-US" w:bidi="ar-SA"/>
              </w:rPr>
              <w:t>(пункт применяется только в случае исполнения Заказчиком норм в части минимальной обязательной доли закупок товаров российского происхождения (подраздел</w:t>
            </w:r>
            <w:r>
              <w:rPr>
                <w:rFonts w:eastAsia="Calibri" w:cs=""/>
                <w:i/>
                <w:iCs/>
                <w:kern w:val="0"/>
                <w:sz w:val="26"/>
                <w:szCs w:val="22"/>
                <w:lang w:val="en-US" w:eastAsia="en-US" w:bidi="ar-SA"/>
              </w:rPr>
              <w:t> </w:t>
            </w:r>
            <w:r>
              <w:rPr>
                <w:rFonts w:eastAsia="Calibri" w:cs=""/>
                <w:i/>
                <w:iCs/>
                <w:kern w:val="0"/>
                <w:sz w:val="26"/>
                <w:szCs w:val="22"/>
                <w:lang w:val="en-US" w:eastAsia="en-US" w:bidi="ar-SA"/>
              </w:rPr>
              <w:fldChar w:fldCharType="begin"/>
            </w:r>
            <w:r>
              <w:rPr>
                <w:sz w:val="26"/>
                <w:i/>
                <w:kern w:val="0"/>
                <w:szCs w:val="22"/>
                <w:iCs/>
                <w:rFonts w:eastAsia="Calibri" w:cs=""/>
                <w:lang w:val="en-US" w:eastAsia="en-US" w:bidi="ar-SA"/>
              </w:rPr>
              <w:instrText xml:space="preserve"> REF _Ref186219943 \r \h </w:instrText>
            </w:r>
            <w:r>
              <w:rPr>
                <w:sz w:val="26"/>
                <w:i/>
                <w:kern w:val="0"/>
                <w:szCs w:val="22"/>
                <w:iCs/>
                <w:rFonts w:eastAsia="Calibri" w:cs=""/>
                <w:lang w:val="en-US" w:eastAsia="en-US" w:bidi="ar-SA"/>
              </w:rPr>
              <w:fldChar w:fldCharType="separate"/>
            </w:r>
            <w:r>
              <w:rPr>
                <w:sz w:val="26"/>
                <w:i/>
                <w:kern w:val="0"/>
                <w:szCs w:val="22"/>
                <w:iCs/>
                <w:rFonts w:eastAsia="Calibri" w:cs=""/>
                <w:lang w:val="en-US" w:eastAsia="en-US" w:bidi="ar-SA"/>
              </w:rPr>
              <w:t>4.14</w:t>
            </w:r>
            <w:r>
              <w:rPr>
                <w:sz w:val="26"/>
                <w:i/>
                <w:kern w:val="0"/>
                <w:szCs w:val="22"/>
                <w:iCs/>
                <w:rFonts w:eastAsia="Calibri" w:cs=""/>
                <w:lang w:val="en-US" w:eastAsia="en-US" w:bidi="ar-SA"/>
              </w:rPr>
              <w:fldChar w:fldCharType="end"/>
            </w:r>
            <w:r>
              <w:rPr>
                <w:rFonts w:eastAsia="Calibri" w:cs=""/>
                <w:i/>
                <w:iCs/>
                <w:kern w:val="0"/>
                <w:sz w:val="26"/>
                <w:szCs w:val="22"/>
                <w:lang w:val="ru-RU" w:eastAsia="en-US" w:bidi="ar-SA"/>
              </w:rPr>
              <w:t>))</w:t>
            </w:r>
          </w:p>
        </w:tc>
        <w:tc>
          <w:tcPr>
            <w:tcW w:w="3567" w:type="dxa"/>
            <w:tcBorders/>
          </w:tcPr>
          <w:p>
            <w:pPr>
              <w:pStyle w:val="Style32"/>
              <w:widowControl w:val="false"/>
              <w:suppressAutoHyphens w:val="true"/>
              <w:spacing w:before="60" w:after="60"/>
              <w:jc w:val="center"/>
              <w:rPr/>
            </w:pPr>
            <w:r>
              <w:rPr>
                <w:rFonts w:eastAsia="Calibri" w:cs=""/>
                <w:kern w:val="0"/>
                <w:sz w:val="26"/>
                <w:szCs w:val="22"/>
                <w:lang w:val="ru-RU" w:eastAsia="en-US" w:bidi="ar-SA"/>
              </w:rPr>
              <w:t>подразделы</w:t>
            </w:r>
            <w:r>
              <w:rPr>
                <w:rFonts w:eastAsia="Calibri" w:cs=""/>
                <w:kern w:val="0"/>
                <w:sz w:val="26"/>
                <w:szCs w:val="22"/>
                <w:lang w:val="en-US" w:eastAsia="en-US" w:bidi="ar-SA"/>
              </w:rPr>
              <w:t> </w:t>
            </w:r>
            <w:r>
              <w:rPr>
                <w:rFonts w:eastAsia="Calibri" w:cs=""/>
                <w:kern w:val="0"/>
                <w:sz w:val="26"/>
                <w:szCs w:val="22"/>
                <w:lang w:val="en-US" w:eastAsia="en-US" w:bidi="ar-SA"/>
              </w:rPr>
              <w:fldChar w:fldCharType="begin"/>
            </w:r>
            <w:r>
              <w:rPr>
                <w:sz w:val="26"/>
                <w:kern w:val="0"/>
                <w:szCs w:val="22"/>
                <w:rFonts w:eastAsia="Calibri" w:cs=""/>
                <w:lang w:val="en-US" w:eastAsia="en-US" w:bidi="ar-SA"/>
              </w:rPr>
              <w:instrText xml:space="preserve"> REF _Ref130281199 \r \h </w:instrText>
            </w:r>
            <w:r>
              <w:rPr>
                <w:sz w:val="26"/>
                <w:kern w:val="0"/>
                <w:szCs w:val="22"/>
                <w:rFonts w:eastAsia="Calibri" w:cs=""/>
                <w:lang w:val="en-US" w:eastAsia="en-US" w:bidi="ar-SA"/>
              </w:rPr>
              <w:fldChar w:fldCharType="separate"/>
            </w:r>
            <w:r>
              <w:rPr>
                <w:sz w:val="26"/>
                <w:kern w:val="0"/>
                <w:szCs w:val="22"/>
                <w:rFonts w:eastAsia="Calibri" w:cs=""/>
                <w:lang w:val="en-US" w:eastAsia="en-US" w:bidi="ar-SA"/>
              </w:rPr>
              <w:t>4.3</w:t>
            </w:r>
            <w:r>
              <w:rPr>
                <w:sz w:val="26"/>
                <w:kern w:val="0"/>
                <w:szCs w:val="22"/>
                <w:rFonts w:eastAsia="Calibri" w:cs=""/>
                <w:lang w:val="en-US"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_Ref186219943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r>
              <w:rPr>
                <w:rFonts w:eastAsia="Calibri" w:cs=""/>
                <w:kern w:val="0"/>
                <w:sz w:val="26"/>
                <w:szCs w:val="22"/>
                <w:lang w:val="en-US"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00" w:type="dxa"/>
            <w:tcBorders/>
          </w:tcPr>
          <w:p>
            <w:pPr>
              <w:pStyle w:val="Style32"/>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94"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567" w:type="dxa"/>
            <w:tcBorders/>
          </w:tcPr>
          <w:p>
            <w:pPr>
              <w:pStyle w:val="Style32"/>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64"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bl>
    <w:p>
      <w:pPr>
        <w:pStyle w:val="Style27"/>
        <w:spacing w:before="360" w:after="120"/>
        <w:rPr>
          <w:rStyle w:val="Style8"/>
          <w:i w:val="false"/>
          <w:i w:val="false"/>
          <w:iCs w:val="false"/>
          <w:shd w:fill="auto" w:val="clear"/>
        </w:rPr>
      </w:pPr>
      <w:bookmarkStart w:id="368" w:name="_Toc228877729"/>
      <w:r>
        <w:rPr>
          <w:rStyle w:val="Style8"/>
          <w:i w:val="false"/>
          <w:iCs w:val="false"/>
          <w:shd w:fill="auto" w:val="clear"/>
        </w:rPr>
        <w:t>Отборочные критерии рассмотрения ценовых предложений</w:t>
      </w:r>
      <w:bookmarkEnd w:id="368"/>
    </w:p>
    <w:tbl>
      <w:tblPr>
        <w:tblStyle w:val="af9"/>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32"/>
              <w:keepNext w:val="true"/>
              <w:widowControl w:val="false"/>
              <w:suppressAutoHyphens w:val="true"/>
              <w:spacing w:before="60" w:after="60"/>
              <w:rPr>
                <w:b/>
                <w:bCs/>
              </w:rPr>
            </w:pPr>
            <w:r>
              <w:rPr>
                <w:rFonts w:eastAsia="Calibri" w:cs=""/>
                <w:b/>
                <w:bCs/>
                <w:kern w:val="0"/>
                <w:sz w:val="26"/>
                <w:szCs w:val="22"/>
                <w:lang w:val="ru-RU" w:eastAsia="en-US" w:bidi="ar-SA"/>
              </w:rPr>
              <w:t>Состав, содержание и правильность оформления ценового предложения, в том числе:</w:t>
            </w:r>
          </w:p>
        </w:tc>
        <w:tc>
          <w:tcPr>
            <w:tcW w:w="3117" w:type="dxa"/>
            <w:tcBorders/>
          </w:tcPr>
          <w:p>
            <w:pPr>
              <w:pStyle w:val="Style32"/>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2"/>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2"/>
              <w:widowControl w:val="false"/>
              <w:numPr>
                <w:ilvl w:val="0"/>
                <w:numId w:val="11"/>
              </w:numPr>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pPr>
            <w:r>
              <w:rPr>
                <w:rFonts w:eastAsia="Calibri" w:cs=""/>
                <w:kern w:val="0"/>
                <w:sz w:val="26"/>
                <w:szCs w:val="22"/>
                <w:lang w:val="ru-RU" w:eastAsia="en-US" w:bidi="ar-SA"/>
              </w:rPr>
              <w:t xml:space="preserve">Соответствие ценового предложения по составу требованиям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3117"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Приложение №1,</w:t>
            </w:r>
          </w:p>
          <w:p>
            <w:pPr>
              <w:pStyle w:val="Style32"/>
              <w:widowControl w:val="false"/>
              <w:suppressAutoHyphens w:val="true"/>
              <w:spacing w:before="60" w:after="60"/>
              <w:jc w:val="center"/>
              <w:rPr>
                <w:rStyle w:val="Style11"/>
              </w:rPr>
            </w:pP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32"/>
              <w:widowControl w:val="false"/>
              <w:numPr>
                <w:ilvl w:val="0"/>
                <w:numId w:val="11"/>
              </w:numPr>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7"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_Ref132797154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4.11</w:t>
            </w:r>
            <w:r>
              <w:rPr>
                <w:sz w:val="26"/>
                <w:kern w:val="0"/>
                <w:szCs w:val="22"/>
                <w:rFonts w:eastAsia="Calibri" w:cs=""/>
                <w:lang w:val="ru-RU" w:eastAsia="en-US" w:bidi="ar-SA"/>
              </w:rPr>
              <w:fldChar w:fldCharType="end"/>
            </w:r>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9918" w:type="dxa"/>
            <w:gridSpan w:val="2"/>
            <w:tcBorders/>
          </w:tcPr>
          <w:p>
            <w:pPr>
              <w:pStyle w:val="Style32"/>
              <w:keepNext w:val="true"/>
              <w:widowControl w:val="false"/>
              <w:suppressAutoHyphens w:val="true"/>
              <w:spacing w:before="60" w:after="60"/>
              <w:rPr>
                <w:b/>
                <w:bCs/>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32"/>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2"/>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2"/>
              <w:widowControl w:val="false"/>
              <w:numPr>
                <w:ilvl w:val="0"/>
                <w:numId w:val="11"/>
              </w:numPr>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 (проверка наличия в составе заявки всех необходимых документов, оценка правильности их оформления; проверка отсутствия противоречий в представленных в составе Коммерческого предложения (и приложениях к нему) документах)</w:t>
            </w:r>
          </w:p>
        </w:tc>
        <w:tc>
          <w:tcPr>
            <w:tcW w:w="3117"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_Ref132797154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4.11</w:t>
            </w:r>
            <w:r>
              <w:rPr>
                <w:sz w:val="26"/>
                <w:kern w:val="0"/>
                <w:szCs w:val="22"/>
                <w:rFonts w:eastAsia="Calibri" w:cs=""/>
                <w:lang w:val="ru-RU" w:eastAsia="en-US" w:bidi="ar-SA"/>
              </w:rPr>
              <w:fldChar w:fldCharType="end"/>
            </w:r>
          </w:p>
          <w:p>
            <w:pPr>
              <w:pStyle w:val="Style32"/>
              <w:widowControl w:val="false"/>
              <w:suppressAutoHyphens w:val="true"/>
              <w:spacing w:before="60" w:after="60"/>
              <w:jc w:val="center"/>
              <w:rPr/>
            </w:pPr>
            <w:r>
              <w:rPr>
                <w:rFonts w:eastAsia="Calibri" w:cs=""/>
                <w:kern w:val="0"/>
                <w:sz w:val="26"/>
                <w:szCs w:val="22"/>
                <w:lang w:val="ru-RU" w:eastAsia="en-US" w:bidi="ar-SA"/>
              </w:rPr>
              <w:t>Приложение №1,</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32"/>
              <w:widowControl w:val="false"/>
              <w:numPr>
                <w:ilvl w:val="0"/>
                <w:numId w:val="11"/>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pPr>
            <w:r>
              <w:rPr>
                <w:rFonts w:eastAsia="Calibri" w:cs=""/>
                <w:kern w:val="0"/>
                <w:sz w:val="26"/>
                <w:szCs w:val="22"/>
                <w:lang w:val="ru-RU" w:eastAsia="en-US" w:bidi="ar-SA"/>
              </w:rPr>
              <w:t>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режима запрета или ограничения закупки иностранной продукции, а также при исполнении Заказчиком норм в части минимальной обязательной доли закупок товаров российского происхождения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_Ref186219943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_Ref130281199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_Ref186219943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p>
          <w:p>
            <w:pPr>
              <w:pStyle w:val="Style32"/>
              <w:widowControl w:val="false"/>
              <w:suppressAutoHyphens w:val="true"/>
              <w:spacing w:before="60" w:after="60"/>
              <w:jc w:val="center"/>
              <w:rPr/>
            </w:pP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br/>
              <w:t>(форма Коммерческого предложения)</w:t>
            </w:r>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2"/>
              <w:widowControl w:val="false"/>
              <w:numPr>
                <w:ilvl w:val="0"/>
                <w:numId w:val="11"/>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Коммерческому приложению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xml:space="preserve">) требованиям, указанным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32"/>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1"/>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32"/>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7"/>
        <w:rPr>
          <w:rStyle w:val="Style8"/>
          <w:i w:val="false"/>
          <w:i w:val="false"/>
          <w:iCs w:val="false"/>
          <w:shd w:fill="auto" w:val="clear"/>
        </w:rPr>
      </w:pPr>
      <w:bookmarkStart w:id="369" w:name="_Toc228877730"/>
      <w:r>
        <w:rPr>
          <w:rStyle w:val="Style8"/>
          <w:i w:val="false"/>
          <w:iCs w:val="false"/>
          <w:shd w:fill="auto" w:val="clear"/>
        </w:rPr>
        <w:t>Дополнительные критерии проверки заявок на соответствие условиям Документации о закупке</w:t>
      </w:r>
      <w:bookmarkEnd w:id="369"/>
    </w:p>
    <w:p>
      <w:pPr>
        <w:pStyle w:val="Style32"/>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9"/>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2"/>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32"/>
              <w:widowControl w:val="false"/>
              <w:numPr>
                <w:ilvl w:val="0"/>
                <w:numId w:val="12"/>
              </w:numPr>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применения преимущества, 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преимущества российской продукции, в отношении заявки с российской продукцией (на поставку товара российского происхождения (в том числе поставляемого при выполнении работ, оказании услуг))</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режима преимущества российской продукции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_Ref186219943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2"/>
              <w:widowControl w:val="false"/>
              <w:suppressAutoHyphens w:val="true"/>
              <w:spacing w:before="60" w:after="60"/>
              <w:jc w:val="center"/>
              <w:rPr>
                <w:rStyle w:val="Style11"/>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_Ref132816300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p>
        </w:tc>
        <w:tc>
          <w:tcPr>
            <w:tcW w:w="2090" w:type="dxa"/>
            <w:tcBorders/>
          </w:tcPr>
          <w:p>
            <w:pPr>
              <w:pStyle w:val="Style32"/>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bl>
    <w:p>
      <w:pPr>
        <w:pStyle w:val="Style32"/>
        <w:keepNext w:val="true"/>
        <w:tabs>
          <w:tab w:val="clear" w:pos="708"/>
          <w:tab w:val="left" w:pos="851" w:leader="none"/>
        </w:tabs>
        <w:spacing w:before="240" w:after="0"/>
        <w:rPr>
          <w:b/>
          <w:bCs/>
        </w:rPr>
      </w:pPr>
      <w:r>
        <w:rPr>
          <w:b/>
          <w:bCs/>
        </w:rPr>
        <w:t>* Направления оценки заявок:</w:t>
      </w:r>
    </w:p>
    <w:p>
      <w:pPr>
        <w:pStyle w:val="Style32"/>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в случае отсутствия внесенных Участником денежных средств на специальный банковский счет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w:t>
      </w:r>
      <w:r>
        <w:rPr>
          <w:lang w:val="en-US"/>
        </w:rPr>
        <w:t> </w:t>
      </w:r>
      <w:r>
        <w:rPr/>
        <w:t>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32"/>
        <w:tabs>
          <w:tab w:val="clear" w:pos="708"/>
          <w:tab w:val="left" w:pos="1134" w:leader="none"/>
        </w:tabs>
        <w:ind w:left="1701" w:hanging="1701"/>
        <w:rPr/>
      </w:pPr>
      <w:r>
        <w:rPr>
          <w:b/>
          <w:bCs/>
        </w:rPr>
        <w:t>Тех</w:t>
      </w:r>
      <w:r>
        <w:rPr/>
        <w:tab/>
        <w:t>–</w:t>
        <w:tab/>
        <w:t>проверка наличия в составе заявки всех необходимых документов для рассмотрения экспертом по своему направлению, а также правильности их оформления; в целях применения законодательства о национальном режиме: а) при закупке товаров (в том числе поставляемых при выполнении работ, оказании услуг) – оценка сведений о стране происхождения предлагаемого к поставке товара; б) при закупке работ, услуг – оценка сведений о стране регистрации Участника (стране регистрации лица, согласно заявке выполняющего работу, оказывающего услугу);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32"/>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32"/>
        <w:keepNext w:val="true"/>
        <w:tabs>
          <w:tab w:val="clear" w:pos="708"/>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языка и валюты заявки); проверка отсутствия противоречий в представленных в составе Коммерческого предложения (и приложениях к нему) документах; проверка соответствия подтверждающей документации (сметная документация и т.п.),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 в том числе в части   непревышения ценового предложения участника установленного размера НМЦ.</w:t>
      </w:r>
    </w:p>
    <w:p>
      <w:pPr>
        <w:pStyle w:val="Style32"/>
        <w:tabs>
          <w:tab w:val="clear" w:pos="708"/>
          <w:tab w:val="left" w:pos="1134" w:leader="none"/>
        </w:tabs>
        <w:ind w:left="1701" w:hanging="1701"/>
        <w:rPr/>
      </w:pPr>
      <w:r>
        <w:rPr>
          <w:b/>
          <w:bCs/>
        </w:rPr>
        <w:t>Фин</w:t>
      </w:r>
      <w:r>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независимой гарантии)</w:t>
      </w:r>
      <w:r>
        <w:rPr/>
        <w:t>.</w:t>
      </w:r>
    </w:p>
    <w:p>
      <w:pPr>
        <w:pStyle w:val="Style32"/>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6"/>
        <w:rPr/>
      </w:pPr>
      <w:bookmarkStart w:id="370" w:name="_Ref125361648"/>
      <w:bookmarkStart w:id="371" w:name="_Ref125361951"/>
      <w:bookmarkStart w:id="372" w:name="_Ref125366013"/>
      <w:bookmarkStart w:id="373" w:name="_Ref125366280"/>
      <w:bookmarkStart w:id="374" w:name="_Ref125366285"/>
      <w:bookmarkStart w:id="375" w:name="_Ref125368140"/>
      <w:bookmarkStart w:id="376" w:name="_Ref125368150"/>
      <w:bookmarkStart w:id="377" w:name="_Ref125368165"/>
      <w:bookmarkStart w:id="378" w:name="_Ref125368184"/>
      <w:bookmarkStart w:id="379" w:name="_Ref125368283"/>
      <w:bookmarkStart w:id="380" w:name="_Ref125368291"/>
      <w:bookmarkStart w:id="381" w:name="_Ref125368302"/>
      <w:bookmarkStart w:id="382" w:name="_Ref125368313"/>
      <w:bookmarkStart w:id="383" w:name="_Ref125368331"/>
      <w:bookmarkStart w:id="384" w:name="_Ref125369021"/>
      <w:bookmarkStart w:id="385" w:name="_Ref125369438"/>
      <w:bookmarkStart w:id="386" w:name="_Toc228877731"/>
      <w:bookmarkStart w:id="387" w:name="_Ref125368172"/>
      <w:bookmarkStart w:id="388" w:name="Прил08_ПорядокОценки"/>
      <w:bookmarkEnd w:id="388"/>
      <w:r>
        <w:rPr/>
        <w:t>Приложение № 8 – Порядок и критерии оценки и сопоставления заявок</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pPr>
        <w:pStyle w:val="Style27"/>
        <w:rPr/>
      </w:pPr>
      <w:bookmarkStart w:id="389" w:name="_Toc228877732"/>
      <w:r>
        <w:rPr/>
        <w:t>Порядок и критерии оценки и сопоставления заявок</w:t>
      </w:r>
      <w:bookmarkEnd w:id="389"/>
    </w:p>
    <w:p>
      <w:pPr>
        <w:pStyle w:val="Style28"/>
        <w:rPr/>
      </w:pPr>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осуществляется по следующим критериям оценки и в соответствии со следующим порядком оценки предпочтительности и сопоставления заявок:</w:t>
      </w:r>
    </w:p>
    <w:p>
      <w:pPr>
        <w:pStyle w:val="Style32"/>
        <w:spacing w:before="120" w:after="120"/>
        <w:ind w:left="1134" w:hanging="0"/>
        <w:rPr>
          <w:rStyle w:val="Style8"/>
        </w:rPr>
      </w:pPr>
      <w:r>
        <w:rPr/>
      </w:r>
    </w:p>
    <w:tbl>
      <w:tblPr>
        <w:tblStyle w:val="af9"/>
        <w:tblW w:w="14034" w:type="dxa"/>
        <w:jc w:val="left"/>
        <w:tblInd w:w="1191" w:type="dxa"/>
        <w:tblLayout w:type="fixed"/>
        <w:tblCellMar>
          <w:top w:w="0" w:type="dxa"/>
          <w:left w:w="57" w:type="dxa"/>
          <w:bottom w:w="0" w:type="dxa"/>
          <w:right w:w="57" w:type="dxa"/>
        </w:tblCellMar>
        <w:tblLook w:val="04a0" w:noHBand="0" w:noVBand="1" w:firstColumn="1" w:lastRow="0" w:lastColumn="0" w:firstRow="1"/>
      </w:tblPr>
      <w:tblGrid>
        <w:gridCol w:w="1532"/>
        <w:gridCol w:w="1269"/>
        <w:gridCol w:w="1594"/>
        <w:gridCol w:w="1701"/>
        <w:gridCol w:w="1841"/>
        <w:gridCol w:w="1986"/>
        <w:gridCol w:w="4110"/>
      </w:tblGrid>
      <w:tr>
        <w:trPr>
          <w:cnfStyle w:val="100000000000" w:firstRow="1" w:lastRow="0" w:firstColumn="0" w:lastColumn="0" w:oddVBand="0" w:evenVBand="0" w:oddHBand="0" w:evenHBand="0" w:firstRowFirstColumn="0" w:firstRowLastColumn="0" w:lastRowFirstColumn="0" w:lastRowLastColumn="0"/>
        </w:trPr>
        <w:tc>
          <w:tcPr>
            <w:tcW w:w="1532" w:type="dxa"/>
            <w:vMerge w:val="restart"/>
            <w:tcBorders/>
          </w:tcPr>
          <w:p>
            <w:pPr>
              <w:pStyle w:val="Style32"/>
              <w:keepNext w:val="true"/>
              <w:keepLines w:val="false"/>
              <w:widowControl w:val="false"/>
              <w:suppressAutoHyphens w:val="true"/>
              <w:spacing w:before="40" w:after="40"/>
              <w:jc w:val="center"/>
              <w:rPr>
                <w:sz w:val="18"/>
                <w:szCs w:val="18"/>
              </w:rPr>
            </w:pPr>
            <w:r>
              <w:rPr>
                <w:rFonts w:eastAsia="Calibri" w:cs=""/>
                <w:b/>
                <w:kern w:val="0"/>
                <w:sz w:val="18"/>
                <w:szCs w:val="18"/>
                <w:lang w:val="ru-RU" w:eastAsia="en-US" w:bidi="ar-SA"/>
              </w:rPr>
              <w:t>Номер критерия оценки в</w:t>
            </w:r>
            <w:r>
              <w:rPr>
                <w:rFonts w:eastAsia="Calibri" w:cs=""/>
                <w:b/>
                <w:kern w:val="0"/>
                <w:sz w:val="18"/>
                <w:szCs w:val="18"/>
                <w:lang w:val="en-US" w:eastAsia="en-US" w:bidi="ar-SA"/>
              </w:rPr>
              <w:t> </w:t>
            </w:r>
            <w:r>
              <w:rPr>
                <w:rFonts w:eastAsia="Calibri" w:cs=""/>
                <w:b/>
                <w:kern w:val="0"/>
                <w:sz w:val="18"/>
                <w:szCs w:val="18"/>
                <w:lang w:val="ru-RU" w:eastAsia="en-US" w:bidi="ar-SA"/>
              </w:rPr>
              <w:t>структуре</w:t>
            </w:r>
          </w:p>
        </w:tc>
        <w:tc>
          <w:tcPr>
            <w:tcW w:w="1269" w:type="dxa"/>
            <w:vMerge w:val="restart"/>
            <w:tcBorders/>
          </w:tcPr>
          <w:p>
            <w:pPr>
              <w:pStyle w:val="Style32"/>
              <w:keepNext w:val="true"/>
              <w:keepLines w:val="false"/>
              <w:widowControl w:val="false"/>
              <w:suppressAutoHyphens w:val="true"/>
              <w:spacing w:before="40" w:after="40"/>
              <w:jc w:val="center"/>
              <w:rPr>
                <w:sz w:val="18"/>
                <w:szCs w:val="18"/>
              </w:rPr>
            </w:pPr>
            <w:r>
              <w:rPr>
                <w:rFonts w:eastAsia="Calibri" w:cs=""/>
                <w:b/>
                <w:kern w:val="0"/>
                <w:sz w:val="18"/>
                <w:szCs w:val="18"/>
                <w:lang w:val="ru-RU" w:eastAsia="en-US" w:bidi="ar-SA"/>
              </w:rPr>
              <w:t>Вид критерия оценки / направление оценки заявок</w:t>
            </w:r>
          </w:p>
        </w:tc>
        <w:tc>
          <w:tcPr>
            <w:tcW w:w="3295" w:type="dxa"/>
            <w:gridSpan w:val="2"/>
            <w:tcBorders/>
          </w:tcPr>
          <w:p>
            <w:pPr>
              <w:pStyle w:val="Style32"/>
              <w:keepNext w:val="true"/>
              <w:keepLines w:val="false"/>
              <w:widowControl w:val="false"/>
              <w:suppressAutoHyphens w:val="true"/>
              <w:spacing w:before="40" w:after="40"/>
              <w:jc w:val="center"/>
              <w:rPr>
                <w:sz w:val="18"/>
                <w:szCs w:val="18"/>
              </w:rPr>
            </w:pPr>
            <w:r>
              <w:rPr>
                <w:rFonts w:eastAsia="Calibri" w:cs=""/>
                <w:b/>
                <w:kern w:val="0"/>
                <w:sz w:val="18"/>
                <w:szCs w:val="18"/>
                <w:lang w:val="ru-RU" w:eastAsia="en-US" w:bidi="ar-SA"/>
              </w:rPr>
              <w:t>Наименование критерия оценки</w:t>
            </w:r>
          </w:p>
        </w:tc>
        <w:tc>
          <w:tcPr>
            <w:tcW w:w="1841" w:type="dxa"/>
            <w:vMerge w:val="restart"/>
            <w:tcBorders/>
          </w:tcPr>
          <w:p>
            <w:pPr>
              <w:pStyle w:val="Style32"/>
              <w:keepNext w:val="true"/>
              <w:keepLines w:val="false"/>
              <w:widowControl w:val="false"/>
              <w:suppressAutoHyphens w:val="true"/>
              <w:spacing w:before="40" w:after="40"/>
              <w:jc w:val="center"/>
              <w:rPr>
                <w:sz w:val="18"/>
                <w:szCs w:val="18"/>
              </w:rPr>
            </w:pPr>
            <w:r>
              <w:rPr>
                <w:rFonts w:eastAsia="Calibri" w:cs=""/>
                <w:b/>
                <w:kern w:val="0"/>
                <w:sz w:val="18"/>
                <w:szCs w:val="18"/>
                <w:lang w:val="ru-RU" w:eastAsia="en-US" w:bidi="ar-SA"/>
              </w:rPr>
              <w:t>Значимость</w:t>
              <w:br/>
              <w:t>критерия оценки</w:t>
            </w:r>
          </w:p>
        </w:tc>
        <w:tc>
          <w:tcPr>
            <w:tcW w:w="1986" w:type="dxa"/>
            <w:vMerge w:val="restart"/>
            <w:tcBorders/>
          </w:tcPr>
          <w:p>
            <w:pPr>
              <w:pStyle w:val="Style32"/>
              <w:keepNext w:val="true"/>
              <w:keepLines w:val="false"/>
              <w:widowControl w:val="false"/>
              <w:suppressAutoHyphens w:val="true"/>
              <w:spacing w:before="40" w:after="40"/>
              <w:jc w:val="center"/>
              <w:rPr>
                <w:sz w:val="18"/>
                <w:szCs w:val="18"/>
              </w:rPr>
            </w:pPr>
            <w:r>
              <w:rPr>
                <w:rFonts w:eastAsia="Calibri" w:cs=""/>
                <w:b/>
                <w:kern w:val="0"/>
                <w:sz w:val="18"/>
                <w:szCs w:val="18"/>
                <w:lang w:val="ru-RU" w:eastAsia="en-US" w:bidi="ar-SA"/>
              </w:rPr>
              <w:t>Содержание частного критерия оценки</w:t>
            </w:r>
          </w:p>
        </w:tc>
        <w:tc>
          <w:tcPr>
            <w:tcW w:w="4110" w:type="dxa"/>
            <w:vMerge w:val="restart"/>
            <w:tcBorders/>
          </w:tcPr>
          <w:p>
            <w:pPr>
              <w:pStyle w:val="Style32"/>
              <w:keepNext w:val="true"/>
              <w:keepLines w:val="false"/>
              <w:widowControl w:val="false"/>
              <w:suppressAutoHyphens w:val="true"/>
              <w:spacing w:before="40" w:after="40"/>
              <w:jc w:val="center"/>
              <w:rPr>
                <w:sz w:val="18"/>
                <w:szCs w:val="18"/>
              </w:rPr>
            </w:pPr>
            <w:r>
              <w:rPr>
                <w:rFonts w:eastAsia="Calibri" w:cs=""/>
                <w:b/>
                <w:kern w:val="0"/>
                <w:sz w:val="18"/>
                <w:szCs w:val="18"/>
                <w:lang w:val="ru-RU" w:eastAsia="en-US" w:bidi="ar-SA"/>
              </w:rPr>
              <w:t>Расчет оценки предпочтительности заявки</w:t>
            </w:r>
          </w:p>
        </w:tc>
      </w:tr>
      <w:tr>
        <w:trPr/>
        <w:tc>
          <w:tcPr>
            <w:tcW w:w="1532" w:type="dxa"/>
            <w:vMerge w:val="continue"/>
            <w:tcBorders/>
          </w:tcPr>
          <w:p>
            <w:pPr>
              <w:pStyle w:val="Style32"/>
              <w:widowControl w:val="false"/>
              <w:suppressAutoHyphens w:val="true"/>
              <w:spacing w:before="40" w:after="40"/>
              <w:jc w:val="center"/>
              <w:rPr>
                <w:sz w:val="18"/>
                <w:szCs w:val="18"/>
              </w:rPr>
            </w:pPr>
            <w:r>
              <w:rPr>
                <w:sz w:val="18"/>
                <w:szCs w:val="18"/>
              </w:rPr>
            </w:r>
          </w:p>
        </w:tc>
        <w:tc>
          <w:tcPr>
            <w:tcW w:w="1269" w:type="dxa"/>
            <w:vMerge w:val="continue"/>
            <w:tcBorders/>
          </w:tcPr>
          <w:p>
            <w:pPr>
              <w:pStyle w:val="Style32"/>
              <w:widowControl w:val="false"/>
              <w:suppressAutoHyphens w:val="true"/>
              <w:spacing w:before="40" w:after="40"/>
              <w:jc w:val="center"/>
              <w:rPr>
                <w:sz w:val="18"/>
                <w:szCs w:val="18"/>
              </w:rPr>
            </w:pPr>
            <w:r>
              <w:rPr>
                <w:sz w:val="18"/>
                <w:szCs w:val="18"/>
              </w:rPr>
            </w:r>
          </w:p>
        </w:tc>
        <w:tc>
          <w:tcPr>
            <w:tcW w:w="1594" w:type="dxa"/>
            <w:tcBorders/>
          </w:tcPr>
          <w:p>
            <w:pPr>
              <w:pStyle w:val="Style32"/>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первого уровня</w:t>
            </w:r>
          </w:p>
        </w:tc>
        <w:tc>
          <w:tcPr>
            <w:tcW w:w="1701" w:type="dxa"/>
            <w:tcBorders/>
          </w:tcPr>
          <w:p>
            <w:pPr>
              <w:pStyle w:val="Style32"/>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второго уровня</w:t>
            </w:r>
          </w:p>
        </w:tc>
        <w:tc>
          <w:tcPr>
            <w:tcW w:w="1841" w:type="dxa"/>
            <w:vMerge w:val="continue"/>
            <w:tcBorders/>
          </w:tcPr>
          <w:p>
            <w:pPr>
              <w:pStyle w:val="Style32"/>
              <w:widowControl w:val="false"/>
              <w:suppressAutoHyphens w:val="true"/>
              <w:spacing w:before="40" w:after="40"/>
              <w:jc w:val="center"/>
              <w:rPr>
                <w:sz w:val="18"/>
                <w:szCs w:val="18"/>
              </w:rPr>
            </w:pPr>
            <w:r>
              <w:rPr>
                <w:sz w:val="18"/>
                <w:szCs w:val="18"/>
              </w:rPr>
            </w:r>
          </w:p>
        </w:tc>
        <w:tc>
          <w:tcPr>
            <w:tcW w:w="1986" w:type="dxa"/>
            <w:vMerge w:val="continue"/>
            <w:tcBorders/>
          </w:tcPr>
          <w:p>
            <w:pPr>
              <w:pStyle w:val="Style32"/>
              <w:widowControl w:val="false"/>
              <w:suppressAutoHyphens w:val="true"/>
              <w:spacing w:before="40" w:after="40"/>
              <w:jc w:val="center"/>
              <w:rPr>
                <w:sz w:val="18"/>
                <w:szCs w:val="18"/>
              </w:rPr>
            </w:pPr>
            <w:r>
              <w:rPr>
                <w:sz w:val="18"/>
                <w:szCs w:val="18"/>
              </w:rPr>
            </w:r>
          </w:p>
        </w:tc>
        <w:tc>
          <w:tcPr>
            <w:tcW w:w="4110" w:type="dxa"/>
            <w:vMerge w:val="continue"/>
            <w:tcBorders/>
          </w:tcPr>
          <w:p>
            <w:pPr>
              <w:pStyle w:val="Style32"/>
              <w:widowControl w:val="false"/>
              <w:suppressAutoHyphens w:val="true"/>
              <w:spacing w:before="40" w:after="40"/>
              <w:jc w:val="center"/>
              <w:rPr>
                <w:sz w:val="18"/>
                <w:szCs w:val="18"/>
              </w:rPr>
            </w:pPr>
            <w:r>
              <w:rPr>
                <w:sz w:val="18"/>
                <w:szCs w:val="18"/>
              </w:rPr>
            </w:r>
          </w:p>
        </w:tc>
      </w:tr>
      <w:tr>
        <w:trPr/>
        <w:tc>
          <w:tcPr>
            <w:tcW w:w="1532" w:type="dxa"/>
            <w:tcBorders/>
          </w:tcPr>
          <w:p>
            <w:pPr>
              <w:pStyle w:val="Style32"/>
              <w:widowControl w:val="false"/>
              <w:suppressAutoHyphens w:val="true"/>
              <w:spacing w:before="40" w:after="40"/>
              <w:jc w:val="center"/>
              <w:rPr/>
            </w:pPr>
            <w:r>
              <w:rPr>
                <w:rStyle w:val="Style8"/>
                <w:rFonts w:eastAsia="Calibri" w:cs=""/>
                <w:i w:val="false"/>
                <w:iCs w:val="false"/>
                <w:kern w:val="0"/>
                <w:sz w:val="18"/>
                <w:szCs w:val="18"/>
                <w:shd w:fill="auto" w:val="clear"/>
                <w:lang w:val="ru-RU" w:eastAsia="en-US" w:bidi="ar-SA"/>
              </w:rPr>
              <w:t>1.</w:t>
            </w:r>
          </w:p>
        </w:tc>
        <w:tc>
          <w:tcPr>
            <w:tcW w:w="1269" w:type="dxa"/>
            <w:tcBorders/>
          </w:tcPr>
          <w:p>
            <w:pPr>
              <w:pStyle w:val="Style32"/>
              <w:widowControl w:val="false"/>
              <w:suppressAutoHyphens w:val="true"/>
              <w:spacing w:before="40" w:after="40"/>
              <w:jc w:val="center"/>
              <w:rPr>
                <w:rStyle w:val="Style8"/>
                <w:sz w:val="18"/>
                <w:szCs w:val="18"/>
              </w:rPr>
            </w:pPr>
            <w:r>
              <w:rPr>
                <w:rStyle w:val="Style8"/>
                <w:rFonts w:eastAsia="Calibri" w:cs=""/>
                <w:i w:val="false"/>
                <w:iCs w:val="false"/>
                <w:kern w:val="0"/>
                <w:sz w:val="18"/>
                <w:szCs w:val="18"/>
                <w:shd w:fill="auto" w:val="clear"/>
                <w:lang w:val="ru-RU" w:eastAsia="en-US" w:bidi="ar-SA"/>
              </w:rPr>
              <w:t>Ценовой частный критерий оценки первого:</w:t>
              <w:br/>
              <w:t xml:space="preserve"> «Цена»</w:t>
            </w:r>
          </w:p>
        </w:tc>
        <w:tc>
          <w:tcPr>
            <w:tcW w:w="1594" w:type="dxa"/>
            <w:tcBorders/>
          </w:tcPr>
          <w:p>
            <w:pPr>
              <w:pStyle w:val="Style32"/>
              <w:widowControl w:val="false"/>
              <w:suppressAutoHyphens w:val="true"/>
              <w:spacing w:before="40" w:after="40"/>
              <w:jc w:val="center"/>
              <w:rPr/>
            </w:pPr>
            <w:r>
              <w:rPr>
                <w:rStyle w:val="Style8"/>
                <w:rFonts w:eastAsia="Calibri" w:cs=""/>
                <w:i w:val="false"/>
                <w:iCs w:val="false"/>
                <w:kern w:val="0"/>
                <w:sz w:val="18"/>
                <w:szCs w:val="18"/>
                <w:shd w:fill="auto" w:val="clear"/>
                <w:lang w:val="ru-RU" w:eastAsia="en-US" w:bidi="ar-SA"/>
              </w:rPr>
              <w:t>Цена договора (стоимость заявки)</w:t>
            </w:r>
          </w:p>
        </w:tc>
        <w:tc>
          <w:tcPr>
            <w:tcW w:w="1701" w:type="dxa"/>
            <w:tcBorders/>
          </w:tcPr>
          <w:p>
            <w:pPr>
              <w:pStyle w:val="Style32"/>
              <w:widowControl w:val="false"/>
              <w:suppressAutoHyphens w:val="true"/>
              <w:spacing w:before="40" w:after="40"/>
              <w:jc w:val="center"/>
              <w:rPr/>
            </w:pPr>
            <w:r>
              <w:rPr>
                <w:rStyle w:val="Style8"/>
                <w:rFonts w:eastAsia="Calibri" w:cs=""/>
                <w:i w:val="false"/>
                <w:iCs w:val="false"/>
                <w:kern w:val="0"/>
                <w:sz w:val="18"/>
                <w:szCs w:val="18"/>
                <w:shd w:fill="auto" w:val="clear"/>
                <w:lang w:val="ru-RU" w:eastAsia="en-US" w:bidi="ar-SA"/>
              </w:rPr>
              <w:t xml:space="preserve"> </w:t>
            </w:r>
            <w:r>
              <w:rPr>
                <w:rStyle w:val="Style8"/>
                <w:rFonts w:eastAsia="Calibri" w:cs=""/>
                <w:i w:val="false"/>
                <w:iCs w:val="false"/>
                <w:kern w:val="0"/>
                <w:sz w:val="18"/>
                <w:szCs w:val="18"/>
                <w:shd w:fill="auto" w:val="clear"/>
                <w:lang w:val="ru-RU" w:eastAsia="en-US" w:bidi="ar-SA"/>
              </w:rPr>
              <w:t>отсутствует</w:t>
            </w:r>
          </w:p>
        </w:tc>
        <w:tc>
          <w:tcPr>
            <w:tcW w:w="1841" w:type="dxa"/>
            <w:tcBorders/>
          </w:tcPr>
          <w:p>
            <w:pPr>
              <w:pStyle w:val="Style32"/>
              <w:widowControl w:val="false"/>
              <w:suppressAutoHyphens w:val="true"/>
              <w:spacing w:before="40" w:after="40"/>
              <w:jc w:val="center"/>
              <w:rPr>
                <w:rStyle w:val="Style8"/>
                <w:sz w:val="18"/>
                <w:szCs w:val="18"/>
              </w:rPr>
            </w:pPr>
            <w:r>
              <w:rPr>
                <w:rStyle w:val="Style8"/>
                <w:rFonts w:eastAsia="Calibri" w:cs=""/>
                <w:i w:val="false"/>
                <w:iCs w:val="false"/>
                <w:kern w:val="0"/>
                <w:sz w:val="18"/>
                <w:szCs w:val="18"/>
                <w:shd w:fill="auto" w:val="clear"/>
                <w:lang w:val="ru-RU" w:eastAsia="en-US" w:bidi="ar-SA"/>
              </w:rPr>
              <w:t xml:space="preserve">  </w:t>
            </w:r>
            <w:r>
              <w:rPr>
                <w:rStyle w:val="Style8"/>
                <w:rFonts w:eastAsia="Calibri" w:cs=""/>
                <w:i w:val="false"/>
                <w:iCs w:val="false"/>
                <w:kern w:val="0"/>
                <w:sz w:val="18"/>
                <w:szCs w:val="18"/>
                <w:shd w:fill="auto" w:val="clear"/>
                <w:lang w:val="ru-RU" w:eastAsia="en-US" w:bidi="ar-SA"/>
              </w:rPr>
              <w:t>90%</w:t>
            </w:r>
          </w:p>
          <w:p>
            <w:pPr>
              <w:pStyle w:val="Style32"/>
              <w:widowControl w:val="false"/>
              <w:suppressAutoHyphens w:val="true"/>
              <w:spacing w:before="40" w:after="40"/>
              <w:jc w:val="center"/>
              <w:rPr/>
            </w:pPr>
            <w:r>
              <w:rPr>
                <w:rStyle w:val="Style8"/>
                <w:rFonts w:eastAsia="Calibri" w:cs=""/>
                <w:i w:val="false"/>
                <w:iCs w:val="false"/>
                <w:kern w:val="0"/>
                <w:sz w:val="18"/>
                <w:szCs w:val="18"/>
                <w:shd w:fill="auto" w:val="clear"/>
                <w:lang w:val="ru-RU" w:eastAsia="en-US" w:bidi="ar-SA"/>
              </w:rPr>
              <w:t>(В1 = 0,90)</w:t>
            </w:r>
          </w:p>
          <w:p>
            <w:pPr>
              <w:pStyle w:val="Style32"/>
              <w:widowControl w:val="false"/>
              <w:suppressAutoHyphens w:val="true"/>
              <w:spacing w:before="40" w:after="40"/>
              <w:jc w:val="center"/>
              <w:rPr>
                <w:rStyle w:val="Style8"/>
                <w:rFonts w:eastAsia="Calibri" w:cs=""/>
                <w:i w:val="false"/>
                <w:i w:val="false"/>
                <w:iCs w:val="false"/>
                <w:kern w:val="0"/>
                <w:sz w:val="18"/>
                <w:szCs w:val="18"/>
                <w:shd w:fill="auto" w:val="clear"/>
                <w:lang w:val="ru-RU" w:eastAsia="en-US" w:bidi="ar-SA"/>
              </w:rPr>
            </w:pPr>
            <w:r>
              <w:rPr/>
            </w:r>
          </w:p>
        </w:tc>
        <w:tc>
          <w:tcPr>
            <w:tcW w:w="1986" w:type="dxa"/>
            <w:tcBorders/>
          </w:tcPr>
          <w:p>
            <w:pPr>
              <w:pStyle w:val="Style32"/>
              <w:widowControl w:val="false"/>
              <w:suppressAutoHyphens w:val="true"/>
              <w:spacing w:before="40" w:after="40"/>
              <w:jc w:val="left"/>
              <w:rPr/>
            </w:pPr>
            <w:r>
              <w:rPr>
                <w:rStyle w:val="Style8"/>
                <w:rFonts w:eastAsia="Calibri" w:cs=""/>
                <w:i w:val="false"/>
                <w:iCs w:val="false"/>
                <w:kern w:val="0"/>
                <w:sz w:val="18"/>
                <w:szCs w:val="18"/>
                <w:shd w:fill="auto" w:val="clear"/>
                <w:lang w:val="ru-RU" w:eastAsia="en-US" w:bidi="ar-SA"/>
              </w:rPr>
              <w:t>Чем меньше цена заявки Участника, тем выше предпочтительность</w:t>
            </w:r>
          </w:p>
        </w:tc>
        <w:tc>
          <w:tcPr>
            <w:tcW w:w="4110" w:type="dxa"/>
            <w:tcBorders/>
          </w:tcPr>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Расчет оценки предпочтительности по частному критерию по методу:</w:t>
            </w:r>
          </w:p>
          <w:p>
            <w:pPr>
              <w:pStyle w:val="Style32"/>
              <w:widowControl w:val="false"/>
              <w:suppressAutoHyphens w:val="true"/>
              <w:spacing w:before="40" w:after="40"/>
              <w:jc w:val="left"/>
              <w:rPr>
                <w:rStyle w:val="Style8"/>
                <w:sz w:val="18"/>
                <w:szCs w:val="18"/>
              </w:rPr>
            </w:pPr>
            <w:r>
              <w:rPr>
                <w:sz w:val="18"/>
                <w:szCs w:val="18"/>
              </w:rPr>
            </w:r>
          </w:p>
          <w:p>
            <w:pPr>
              <w:pStyle w:val="Style32"/>
              <w:widowControl w:val="false"/>
              <w:suppressAutoHyphens w:val="true"/>
              <w:spacing w:before="40" w:after="40"/>
              <w:jc w:val="center"/>
              <w:rPr>
                <w:rStyle w:val="Style8"/>
                <w:rFonts w:eastAsia="" w:eastAsiaTheme="minorEastAsia"/>
                <w:iCs w:val="false"/>
                <w:sz w:val="18"/>
                <w:szCs w:val="18"/>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Style32"/>
              <w:widowControl w:val="false"/>
              <w:suppressAutoHyphens w:val="true"/>
              <w:spacing w:before="40" w:after="40"/>
              <w:jc w:val="left"/>
              <w:rPr/>
            </w:pPr>
            <w:r>
              <w:rPr>
                <w:rStyle w:val="Style8"/>
                <w:rFonts w:eastAsia="Calibri" w:cs=""/>
                <w:kern w:val="0"/>
                <w:sz w:val="18"/>
                <w:szCs w:val="18"/>
                <w:shd w:fill="auto" w:val="clear"/>
                <w:lang w:val="ru-RU" w:eastAsia="en-US" w:bidi="ar-SA"/>
              </w:rPr>
              <w:t>где:</w:t>
            </w:r>
          </w:p>
          <w:p>
            <w:pPr>
              <w:pStyle w:val="Style32"/>
              <w:widowControl w:val="false"/>
              <w:suppressAutoHyphens w:val="true"/>
              <w:spacing w:before="40" w:after="40"/>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rStyle w:val="Style8"/>
                <w:rFonts w:eastAsia="Calibri" w:cs=""/>
                <w:kern w:val="0"/>
                <w:sz w:val="18"/>
                <w:szCs w:val="18"/>
                <w:shd w:fill="auto" w:val="clear"/>
                <w:lang w:val="ru-RU" w:eastAsia="en-US" w:bidi="ar-SA"/>
              </w:rPr>
              <w:t xml:space="preserve"> – </w:t>
            </w:r>
            <w:r>
              <w:rPr>
                <w:rStyle w:val="Style8"/>
                <w:rFonts w:eastAsia="Calibri" w:cs=""/>
                <w:kern w:val="0"/>
                <w:sz w:val="18"/>
                <w:szCs w:val="18"/>
                <w:shd w:fill="auto" w:val="clear"/>
                <w:lang w:val="ru-RU" w:eastAsia="en-US" w:bidi="ar-SA"/>
              </w:rPr>
              <w:t>рассчитанная оценка предпочтительности по данному частному критерию оценки в баллах;</w:t>
            </w:r>
          </w:p>
          <w:p>
            <w:pPr>
              <w:pStyle w:val="Style32"/>
              <w:widowControl w:val="false"/>
              <w:suppressAutoHyphens w:val="true"/>
              <w:spacing w:before="40" w:after="40"/>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i</m:t>
                  </m:r>
                </m:sub>
              </m:sSub>
            </m:oMath>
            <w:r>
              <w:rPr>
                <w:rStyle w:val="Style8"/>
                <w:rFonts w:eastAsia="Calibri" w:cs=""/>
                <w:kern w:val="0"/>
                <w:sz w:val="18"/>
                <w:szCs w:val="18"/>
                <w:shd w:fill="auto" w:val="clear"/>
                <w:lang w:val="ru-RU" w:eastAsia="en-US" w:bidi="ar-SA"/>
              </w:rPr>
              <w:t xml:space="preserve"> – </w:t>
            </w:r>
            <w:r>
              <w:rPr>
                <w:rStyle w:val="Style8"/>
                <w:rFonts w:eastAsia="Calibri" w:cs=""/>
                <w:kern w:val="0"/>
                <w:sz w:val="18"/>
                <w:szCs w:val="18"/>
                <w:shd w:fill="auto" w:val="clear"/>
                <w:lang w:val="ru-RU" w:eastAsia="en-US" w:bidi="ar-SA"/>
              </w:rPr>
              <w:t>цена договора (стоимость заявки), указанная в заявке допущенного участника, руб. без учета НДС;</w:t>
            </w:r>
          </w:p>
          <w:p>
            <w:pPr>
              <w:pStyle w:val="Style32"/>
              <w:widowControl w:val="false"/>
              <w:suppressAutoHyphens w:val="true"/>
              <w:spacing w:before="40" w:after="40"/>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min</m:t>
                  </m:r>
                </m:sub>
              </m:sSub>
            </m:oMath>
            <w:r>
              <w:rPr>
                <w:rStyle w:val="Style8"/>
                <w:rFonts w:eastAsia="Calibri" w:cs=""/>
                <w:kern w:val="0"/>
                <w:sz w:val="18"/>
                <w:szCs w:val="18"/>
                <w:shd w:fill="auto" w:val="clear"/>
                <w:lang w:val="ru-RU" w:eastAsia="en-US" w:bidi="ar-SA"/>
              </w:rPr>
              <w:t xml:space="preserve"> – </w:t>
            </w:r>
            <w:r>
              <w:rPr>
                <w:rStyle w:val="Style8"/>
                <w:rFonts w:eastAsia="Calibri" w:cs=""/>
                <w:kern w:val="0"/>
                <w:sz w:val="18"/>
                <w:szCs w:val="18"/>
                <w:shd w:fill="auto" w:val="clear"/>
                <w:lang w:val="ru-RU" w:eastAsia="en-US" w:bidi="ar-SA"/>
              </w:rPr>
              <w:t>минимальная цена договора (стоимость заявки) среди всех допущенных заявок участников, руб. без учета НДС;</w:t>
            </w:r>
          </w:p>
          <w:p>
            <w:pPr>
              <w:pStyle w:val="Style32"/>
              <w:widowControl w:val="false"/>
              <w:suppressAutoHyphens w:val="true"/>
              <w:spacing w:before="40" w:after="40"/>
              <w:jc w:val="left"/>
              <w:rPr/>
            </w:pPr>
            <w:r>
              <w:rPr/>
            </w:r>
            <m:oMath xmlns:m="http://schemas.openxmlformats.org/officeDocument/2006/math">
              <m:r>
                <w:rPr>
                  <w:rFonts w:ascii="Cambria Math" w:hAnsi="Cambria Math"/>
                </w:rPr>
                <m:t xml:space="preserve">Ш</m:t>
              </m:r>
            </m:oMath>
            <w:r>
              <w:rPr>
                <w:rStyle w:val="Style8"/>
                <w:rFonts w:eastAsia="Calibri" w:cs=""/>
                <w:kern w:val="0"/>
                <w:sz w:val="18"/>
                <w:szCs w:val="18"/>
                <w:shd w:fill="auto" w:val="clear"/>
                <w:lang w:val="ru-RU" w:eastAsia="en-US" w:bidi="ar-SA"/>
              </w:rPr>
              <w:t xml:space="preserve"> – </w:t>
            </w:r>
            <w:r>
              <w:rPr>
                <w:rStyle w:val="Style8"/>
                <w:rFonts w:eastAsia="Calibri" w:cs=""/>
                <w:kern w:val="0"/>
                <w:sz w:val="18"/>
                <w:szCs w:val="18"/>
                <w:shd w:fill="auto" w:val="clear"/>
                <w:lang w:val="ru-RU" w:eastAsia="en-US" w:bidi="ar-SA"/>
              </w:rPr>
              <w:t>максимально возможный балл (максимальная возможная оценка предпочтительности) по шкале оценок</w:t>
              <w:br/>
              <w:t>(</w:t>
            </w:r>
            <w:r>
              <w:rPr/>
            </w:r>
            <m:oMath xmlns:m="http://schemas.openxmlformats.org/officeDocument/2006/math">
              <m:r>
                <w:rPr>
                  <w:rFonts w:ascii="Cambria Math" w:hAnsi="Cambria Math"/>
                </w:rPr>
                <m:t xml:space="preserve">Ш</m:t>
              </m:r>
              <m:r>
                <w:rPr>
                  <w:rFonts w:ascii="Cambria Math" w:hAnsi="Cambria Math"/>
                </w:rPr>
                <m:t xml:space="preserve">=</m:t>
              </m:r>
              <m:r>
                <w:rPr>
                  <w:rFonts w:ascii="Cambria Math" w:hAnsi="Cambria Math"/>
                </w:rPr>
                <m:t xml:space="preserve">5</m:t>
              </m:r>
            </m:oMath>
            <w:r>
              <w:rPr>
                <w:rStyle w:val="Style8"/>
                <w:rFonts w:eastAsia="Calibri" w:cs=""/>
                <w:kern w:val="0"/>
                <w:sz w:val="18"/>
                <w:szCs w:val="18"/>
                <w:shd w:fill="auto" w:val="clear"/>
                <w:lang w:val="ru-RU" w:eastAsia="en-US" w:bidi="ar-SA"/>
              </w:rPr>
              <w:t>)</w:t>
            </w:r>
            <w:r>
              <w:rPr>
                <w:rFonts w:eastAsia="Calibri" w:cs=""/>
                <w:kern w:val="0"/>
                <w:sz w:val="18"/>
                <w:szCs w:val="18"/>
                <w:shd w:fill="auto" w:val="clear"/>
                <w:lang w:val="ru-RU" w:eastAsia="en-US" w:bidi="ar-SA"/>
              </w:rPr>
              <w:t>.</w:t>
            </w:r>
          </w:p>
          <w:p>
            <w:pPr>
              <w:pStyle w:val="Style32"/>
              <w:widowControl w:val="false"/>
              <w:suppressAutoHyphens w:val="true"/>
              <w:spacing w:before="40" w:after="40"/>
              <w:jc w:val="left"/>
              <w:rPr>
                <w:sz w:val="18"/>
                <w:szCs w:val="18"/>
              </w:rPr>
            </w:pPr>
            <w:r>
              <w:rPr>
                <w:sz w:val="18"/>
                <w:szCs w:val="18"/>
              </w:rPr>
            </w:r>
          </w:p>
          <w:p>
            <w:pPr>
              <w:pStyle w:val="Style32"/>
              <w:widowControl w:val="false"/>
              <w:suppressAutoHyphens w:val="true"/>
              <w:spacing w:before="40" w:after="40"/>
              <w:jc w:val="left"/>
              <w:rPr/>
            </w:pPr>
            <w:r>
              <w:rPr>
                <w:rStyle w:val="Style8"/>
                <w:rFonts w:eastAsia="Calibri" w:cs="" w:cstheme="minorBidi" w:eastAsiaTheme="minorHAnsi"/>
                <w:kern w:val="0"/>
                <w:sz w:val="18"/>
                <w:szCs w:val="18"/>
                <w:shd w:fill="auto" w:val="clear"/>
                <w:lang w:val="ru-RU" w:eastAsia="en-US" w:bidi="ar-SA"/>
              </w:rPr>
              <w:t>Оценка предпочтительности заявок осуществляется в едином базисе сопоставления ценовых (стоимостных) предложений: без учета НДС».</w:t>
            </w:r>
          </w:p>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Шкала оценок от 0 до 5 баллов.</w:t>
            </w:r>
          </w:p>
        </w:tc>
      </w:tr>
      <w:tr>
        <w:trPr/>
        <w:tc>
          <w:tcPr>
            <w:tcW w:w="1532" w:type="dxa"/>
            <w:tcBorders/>
          </w:tcPr>
          <w:p>
            <w:pPr>
              <w:pStyle w:val="Style32"/>
              <w:widowControl w:val="false"/>
              <w:suppressAutoHyphens w:val="true"/>
              <w:spacing w:before="40" w:after="40"/>
              <w:jc w:val="center"/>
              <w:rPr>
                <w:sz w:val="18"/>
                <w:szCs w:val="18"/>
              </w:rPr>
            </w:pPr>
            <w:r>
              <w:rPr>
                <w:rFonts w:eastAsia="Calibri" w:cs=""/>
                <w:kern w:val="0"/>
                <w:sz w:val="18"/>
                <w:szCs w:val="18"/>
                <w:lang w:val="ru-RU" w:eastAsia="en-US" w:bidi="ar-SA"/>
              </w:rPr>
              <w:t>2.</w:t>
            </w:r>
          </w:p>
        </w:tc>
        <w:tc>
          <w:tcPr>
            <w:tcW w:w="1269" w:type="dxa"/>
            <w:tcBorders/>
          </w:tcPr>
          <w:p>
            <w:pPr>
              <w:pStyle w:val="Style32"/>
              <w:widowControl w:val="false"/>
              <w:suppressAutoHyphens w:val="true"/>
              <w:spacing w:before="40" w:after="40"/>
              <w:jc w:val="center"/>
              <w:rPr>
                <w:sz w:val="18"/>
                <w:szCs w:val="18"/>
              </w:rPr>
            </w:pPr>
            <w:r>
              <w:rPr>
                <w:rFonts w:eastAsia="Calibri" w:cs="Arial"/>
                <w:kern w:val="0"/>
                <w:sz w:val="18"/>
                <w:szCs w:val="18"/>
                <w:lang w:val="ru-RU" w:eastAsia="en-US" w:bidi="ar-SA"/>
              </w:rPr>
              <w:t xml:space="preserve">Неценовой критерий оценки первого уровня/ </w:t>
              <w:br/>
              <w:t>Тех</w:t>
            </w:r>
          </w:p>
        </w:tc>
        <w:tc>
          <w:tcPr>
            <w:tcW w:w="1594" w:type="dxa"/>
            <w:tcBorders/>
          </w:tcPr>
          <w:p>
            <w:pPr>
              <w:pStyle w:val="31"/>
              <w:widowControl w:val="false"/>
              <w:numPr>
                <w:ilvl w:val="7"/>
                <w:numId w:val="19"/>
              </w:numPr>
              <w:suppressAutoHyphens w:val="true"/>
              <w:spacing w:lineRule="auto" w:line="240" w:before="0" w:after="60"/>
              <w:jc w:val="center"/>
              <w:rPr>
                <w:sz w:val="18"/>
                <w:szCs w:val="18"/>
              </w:rPr>
            </w:pPr>
            <w:r>
              <w:rPr>
                <w:rFonts w:eastAsia="Times New Roman"/>
                <w:kern w:val="0"/>
                <w:sz w:val="18"/>
                <w:szCs w:val="18"/>
                <w:lang w:val="ru-RU" w:eastAsia="ru-RU" w:bidi="ar-SA"/>
              </w:rPr>
              <w:t>Квалификация (предпочтительность) Участника</w:t>
            </w:r>
          </w:p>
        </w:tc>
        <w:tc>
          <w:tcPr>
            <w:tcW w:w="1701" w:type="dxa"/>
            <w:tcBorders/>
          </w:tcPr>
          <w:p>
            <w:pPr>
              <w:pStyle w:val="Style32"/>
              <w:widowControl w:val="false"/>
              <w:suppressAutoHyphens w:val="true"/>
              <w:spacing w:before="40" w:after="40"/>
              <w:jc w:val="center"/>
              <w:rPr>
                <w:sz w:val="18"/>
                <w:szCs w:val="18"/>
              </w:rPr>
            </w:pPr>
            <w:r>
              <w:rPr>
                <w:rFonts w:eastAsia="Calibri" w:cs="Arial"/>
                <w:kern w:val="0"/>
                <w:sz w:val="18"/>
                <w:szCs w:val="18"/>
                <w:lang w:val="ru-RU" w:eastAsia="ru-RU" w:bidi="ar-SA"/>
              </w:rPr>
              <w:t>отсутствует</w:t>
            </w:r>
          </w:p>
        </w:tc>
        <w:tc>
          <w:tcPr>
            <w:tcW w:w="1841" w:type="dxa"/>
            <w:tcBorders/>
          </w:tcPr>
          <w:p>
            <w:pPr>
              <w:pStyle w:val="31"/>
              <w:widowControl w:val="false"/>
              <w:numPr>
                <w:ilvl w:val="7"/>
                <w:numId w:val="19"/>
              </w:numPr>
              <w:suppressAutoHyphens w:val="true"/>
              <w:spacing w:lineRule="auto" w:line="240" w:before="0" w:after="60"/>
              <w:jc w:val="center"/>
              <w:rPr>
                <w:sz w:val="18"/>
                <w:szCs w:val="18"/>
              </w:rPr>
            </w:pPr>
            <w:r>
              <w:rPr>
                <w:rFonts w:eastAsia="Times New Roman"/>
                <w:kern w:val="0"/>
                <w:sz w:val="18"/>
                <w:szCs w:val="18"/>
                <w:lang w:val="ru-RU" w:eastAsia="ru-RU" w:bidi="ar-SA"/>
              </w:rPr>
              <w:t>5%</w:t>
              <w:br/>
              <w:t>(В</w:t>
            </w:r>
            <w:r>
              <w:rPr>
                <w:rFonts w:eastAsia="Times New Roman"/>
                <w:kern w:val="0"/>
                <w:sz w:val="18"/>
                <w:szCs w:val="18"/>
                <w:vertAlign w:val="subscript"/>
                <w:lang w:val="ru-RU" w:eastAsia="ru-RU" w:bidi="ar-SA"/>
              </w:rPr>
              <w:t>2</w:t>
            </w:r>
            <w:r>
              <w:rPr>
                <w:rFonts w:eastAsia="Times New Roman"/>
                <w:kern w:val="0"/>
                <w:sz w:val="18"/>
                <w:szCs w:val="18"/>
                <w:lang w:val="ru-RU" w:eastAsia="ru-RU" w:bidi="ar-SA"/>
              </w:rPr>
              <w:t xml:space="preserve"> = 0,05)</w:t>
            </w:r>
          </w:p>
        </w:tc>
        <w:tc>
          <w:tcPr>
            <w:tcW w:w="1986" w:type="dxa"/>
            <w:tcBorders/>
          </w:tcPr>
          <w:p>
            <w:pPr>
              <w:pStyle w:val="31"/>
              <w:widowControl w:val="false"/>
              <w:numPr>
                <w:ilvl w:val="7"/>
                <w:numId w:val="20"/>
              </w:numPr>
              <w:suppressAutoHyphens w:val="true"/>
              <w:spacing w:lineRule="auto" w:line="240" w:before="0" w:after="60"/>
              <w:jc w:val="center"/>
              <w:rPr>
                <w:sz w:val="18"/>
                <w:szCs w:val="18"/>
              </w:rPr>
            </w:pPr>
            <w:r>
              <w:rPr>
                <w:rFonts w:eastAsia="Times New Roman"/>
                <w:kern w:val="0"/>
                <w:sz w:val="18"/>
                <w:szCs w:val="18"/>
                <w:lang w:val="ru-RU" w:eastAsia="ru-RU" w:bidi="ar-SA"/>
              </w:rPr>
              <w:t>Чем больше опыт выполнения работ  тем выше предпочтительность</w:t>
            </w:r>
          </w:p>
        </w:tc>
        <w:tc>
          <w:tcPr>
            <w:tcW w:w="4110" w:type="dxa"/>
            <w:tcBorders/>
          </w:tcPr>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 xml:space="preserve">  </w:t>
            </w:r>
            <w:r>
              <w:rPr>
                <w:rFonts w:eastAsia="Calibri" w:cs=""/>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 xml:space="preserve"> </w:t>
            </w:r>
            <w:r>
              <w:rPr>
                <w:rFonts w:eastAsia="Calibri" w:cs=""/>
                <w:kern w:val="0"/>
                <w:sz w:val="18"/>
                <w:szCs w:val="18"/>
                <w:lang w:val="ru-RU" w:eastAsia="en-US" w:bidi="ar-SA"/>
              </w:rPr>
              <w:t xml:space="preserve">Для целей проведения оценки по данному критерию Участник должен предоставить в составе 2-ой части заявки (в Справке об опыте Участника по установленной в Документации о закупке форме) сведения о ранее исполненных договорах, подтверждающих наличие совокупного опыта (в рамках одного или нескольких договоров) выполнения следующих работ: </w:t>
            </w:r>
            <w:r>
              <w:rPr>
                <w:rFonts w:eastAsia="Calibri" w:cs=""/>
                <w:b/>
                <w:bCs/>
                <w:kern w:val="0"/>
                <w:sz w:val="18"/>
                <w:szCs w:val="18"/>
                <w:lang w:val="ru-RU" w:eastAsia="en-US" w:bidi="ar-SA"/>
              </w:rPr>
              <w:t xml:space="preserve">по восстановлению благоустройства территории </w:t>
            </w:r>
            <w:r>
              <w:rPr>
                <w:rFonts w:eastAsia="Calibri" w:cs=""/>
                <w:kern w:val="0"/>
                <w:sz w:val="18"/>
                <w:szCs w:val="18"/>
                <w:lang w:val="ru-RU" w:eastAsia="en-US" w:bidi="ar-SA"/>
              </w:rPr>
              <w:t>за последние 5 лет, предшествующих дате подачи заявки Участником, с учетом правопреемственности, с приложением следующих подтверждающих документов:</w:t>
            </w:r>
          </w:p>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 xml:space="preserve"> </w:t>
            </w:r>
            <w:r>
              <w:rPr>
                <w:rFonts w:eastAsia="Calibri" w:cs=""/>
                <w:kern w:val="0"/>
                <w:sz w:val="18"/>
                <w:szCs w:val="18"/>
                <w:lang w:val="ru-RU" w:eastAsia="en-US" w:bidi="ar-SA"/>
              </w:rPr>
              <w:t>- копии исполненных договоров,  подписанных с обеих сторон;</w:t>
            </w:r>
          </w:p>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 xml:space="preserve">  </w:t>
            </w:r>
            <w:r>
              <w:rPr>
                <w:rFonts w:eastAsia="Calibri" w:cs=""/>
                <w:kern w:val="0"/>
                <w:sz w:val="18"/>
                <w:szCs w:val="18"/>
                <w:lang w:val="ru-RU" w:eastAsia="en-US" w:bidi="ar-SA"/>
              </w:rPr>
              <w:t>- копии актов выполненных работ по форме КС-2 и справки о стоимости выполненных работ и затрат по форме КС-3, подписанных с обеих сторон,</w:t>
            </w:r>
          </w:p>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 либо копии актов сдачи-приемки работ (иных документов, оформляющих, в соответствии с условиями договора, факт выполнения работ), подписанных с обеих сторон, свидетельствующих о выполнении работ в рамках каждого предоставленного договора.</w:t>
            </w:r>
          </w:p>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 xml:space="preserve">  </w:t>
            </w:r>
            <w:r>
              <w:rPr>
                <w:rFonts w:eastAsia="Calibri" w:cs=""/>
                <w:kern w:val="0"/>
                <w:sz w:val="18"/>
                <w:szCs w:val="18"/>
                <w:lang w:val="ru-RU" w:eastAsia="en-US" w:bidi="ar-SA"/>
              </w:rPr>
              <w:t>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 xml:space="preserve">  </w:t>
            </w:r>
            <w:r>
              <w:rPr>
                <w:rFonts w:eastAsia="Calibri" w:cs=""/>
                <w:kern w:val="0"/>
                <w:sz w:val="18"/>
                <w:szCs w:val="18"/>
                <w:lang w:val="ru-RU" w:eastAsia="en-US" w:bidi="ar-SA"/>
              </w:rPr>
              <w:t xml:space="preserve">Порядок осуществления оценки (значение оцениваемого параметра), в зависимости от предоставленных в i-ой заявке сведений о наличии у Участника совокупного опыта </w:t>
            </w:r>
            <w:r>
              <w:rPr>
                <w:rFonts w:eastAsia="Calibri" w:cs=""/>
                <w:b/>
                <w:bCs/>
                <w:kern w:val="0"/>
                <w:sz w:val="18"/>
                <w:szCs w:val="18"/>
                <w:lang w:val="ru-RU" w:eastAsia="en-US" w:bidi="ar-SA"/>
              </w:rPr>
              <w:t>по восстановлению благоустройства территории</w:t>
            </w:r>
            <w:r>
              <w:rPr>
                <w:rFonts w:eastAsia="Calibri" w:cs=""/>
                <w:kern w:val="0"/>
                <w:sz w:val="18"/>
                <w:szCs w:val="18"/>
                <w:lang w:val="ru-RU" w:eastAsia="en-US" w:bidi="ar-SA"/>
              </w:rPr>
              <w:t xml:space="preserve"> за последние 5 лет, на общую сумму:</w:t>
            </w:r>
          </w:p>
          <w:tbl>
            <w:tblPr>
              <w:tblW w:w="5669" w:type="dxa"/>
              <w:jc w:val="left"/>
              <w:tblInd w:w="0" w:type="dxa"/>
              <w:tblLayout w:type="fixed"/>
              <w:tblCellMar>
                <w:top w:w="0" w:type="dxa"/>
                <w:left w:w="108" w:type="dxa"/>
                <w:bottom w:w="0" w:type="dxa"/>
                <w:right w:w="108" w:type="dxa"/>
              </w:tblCellMar>
            </w:tblPr>
            <w:tblGrid>
              <w:gridCol w:w="793"/>
              <w:gridCol w:w="4875"/>
            </w:tblGrid>
            <w:tr>
              <w:trPr>
                <w:trHeight w:val="91" w:hRule="atLeast"/>
                <w:cantSplit w:val="true"/>
              </w:trPr>
              <w:tc>
                <w:tcPr>
                  <w:tcW w:w="793" w:type="dxa"/>
                  <w:tcBorders>
                    <w:bottom w:val="single" w:sz="8" w:space="0" w:color="000000"/>
                    <w:right w:val="single" w:sz="8" w:space="0" w:color="000000"/>
                  </w:tcBorders>
                </w:tcPr>
                <w:p>
                  <w:pPr>
                    <w:pStyle w:val="Normal"/>
                    <w:keepNext w:val="true"/>
                    <w:widowControl w:val="false"/>
                    <w:tabs>
                      <w:tab w:val="clear" w:pos="708"/>
                    </w:tabs>
                    <w:spacing w:before="0" w:after="0"/>
                    <w:rPr>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0</w:t>
                  </w:r>
                </w:p>
              </w:tc>
              <w:tc>
                <w:tcPr>
                  <w:tcW w:w="4875" w:type="dxa"/>
                  <w:tcBorders>
                    <w:bottom w:val="single" w:sz="8" w:space="0" w:color="000000"/>
                  </w:tcBorders>
                  <w:tcMar>
                    <w:left w:w="0" w:type="dxa"/>
                    <w:right w:w="10" w:type="dxa"/>
                  </w:tcMar>
                </w:tcPr>
                <w:p>
                  <w:pPr>
                    <w:pStyle w:val="Normal"/>
                    <w:keepNext w:val="true"/>
                    <w:widowControl w:val="false"/>
                    <w:tabs>
                      <w:tab w:val="clear" w:pos="708"/>
                    </w:tabs>
                    <w:spacing w:before="0" w:after="0"/>
                    <w:rPr>
                      <w:sz w:val="18"/>
                      <w:szCs w:val="18"/>
                    </w:rPr>
                  </w:pPr>
                  <w:r>
                    <w:rPr>
                      <w:rFonts w:eastAsia="Times New Roman" w:cs="Times New Roman"/>
                      <w:sz w:val="18"/>
                      <w:szCs w:val="18"/>
                    </w:rPr>
                    <w:t>Опыт отсутствует/ Опыт не подтвержден;</w:t>
                  </w:r>
                </w:p>
              </w:tc>
            </w:tr>
            <w:tr>
              <w:trPr>
                <w:trHeight w:val="167" w:hRule="atLeast"/>
                <w:cantSplit w:val="true"/>
              </w:trPr>
              <w:tc>
                <w:tcPr>
                  <w:tcW w:w="793" w:type="dxa"/>
                  <w:tcBorders>
                    <w:bottom w:val="single" w:sz="8" w:space="0" w:color="000000"/>
                    <w:right w:val="single" w:sz="8" w:space="0" w:color="000000"/>
                  </w:tcBorders>
                </w:tcPr>
                <w:p>
                  <w:pPr>
                    <w:pStyle w:val="Normal"/>
                    <w:keepNext w:val="true"/>
                    <w:widowControl w:val="false"/>
                    <w:tabs>
                      <w:tab w:val="clear" w:pos="708"/>
                    </w:tabs>
                    <w:spacing w:before="0" w:after="0"/>
                    <w:ind w:left="0" w:right="0" w:hanging="0"/>
                    <w:rPr>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1</w:t>
                  </w:r>
                </w:p>
              </w:tc>
              <w:tc>
                <w:tcPr>
                  <w:tcW w:w="4875" w:type="dxa"/>
                  <w:tcBorders>
                    <w:bottom w:val="single" w:sz="8" w:space="0" w:color="000000"/>
                  </w:tcBorders>
                  <w:tcMar>
                    <w:left w:w="0" w:type="dxa"/>
                    <w:right w:w="10" w:type="dxa"/>
                  </w:tcMar>
                </w:tcPr>
                <w:p>
                  <w:pPr>
                    <w:pStyle w:val="Normal"/>
                    <w:keepNext w:val="true"/>
                    <w:widowControl w:val="false"/>
                    <w:tabs>
                      <w:tab w:val="clear" w:pos="708"/>
                    </w:tabs>
                    <w:spacing w:before="0" w:after="0"/>
                    <w:ind w:left="71" w:right="137" w:hanging="0"/>
                    <w:rPr>
                      <w:sz w:val="18"/>
                      <w:szCs w:val="18"/>
                    </w:rPr>
                  </w:pPr>
                  <w:r>
                    <w:rPr>
                      <w:rFonts w:eastAsia="Times New Roman" w:cs="Times New Roman"/>
                      <w:sz w:val="18"/>
                      <w:szCs w:val="18"/>
                    </w:rPr>
                    <w:t>более 0 % НМЦ «без учета НДС»,</w:t>
                  </w:r>
                </w:p>
                <w:p>
                  <w:pPr>
                    <w:pStyle w:val="Normal"/>
                    <w:widowControl w:val="false"/>
                    <w:tabs>
                      <w:tab w:val="clear" w:pos="708"/>
                    </w:tabs>
                    <w:spacing w:before="0" w:after="0"/>
                    <w:ind w:left="71" w:right="137" w:hanging="0"/>
                    <w:rPr>
                      <w:sz w:val="18"/>
                      <w:szCs w:val="18"/>
                    </w:rPr>
                  </w:pPr>
                  <w:r>
                    <w:rPr>
                      <w:rFonts w:eastAsia="Times New Roman" w:cs="Times New Roman"/>
                      <w:sz w:val="18"/>
                      <w:szCs w:val="18"/>
                    </w:rPr>
                    <w:t>до 20% НМЦ «без учета НДС»</w:t>
                  </w:r>
                </w:p>
                <w:p>
                  <w:pPr>
                    <w:pStyle w:val="Normal"/>
                    <w:widowControl w:val="false"/>
                    <w:tabs>
                      <w:tab w:val="clear" w:pos="708"/>
                    </w:tabs>
                    <w:spacing w:before="0" w:after="0"/>
                    <w:ind w:left="71" w:right="137" w:hanging="0"/>
                    <w:rPr>
                      <w:sz w:val="18"/>
                      <w:szCs w:val="18"/>
                    </w:rPr>
                  </w:pPr>
                  <w:r>
                    <w:rPr>
                      <w:rFonts w:eastAsia="Times New Roman" w:cs="Times New Roman"/>
                      <w:sz w:val="18"/>
                      <w:szCs w:val="18"/>
                    </w:rPr>
                    <w:t>(включительно);</w:t>
                  </w:r>
                </w:p>
              </w:tc>
            </w:tr>
            <w:tr>
              <w:trPr>
                <w:trHeight w:val="424" w:hRule="atLeast"/>
                <w:cantSplit w:val="true"/>
              </w:trPr>
              <w:tc>
                <w:tcPr>
                  <w:tcW w:w="793" w:type="dxa"/>
                  <w:tcBorders>
                    <w:bottom w:val="single" w:sz="8" w:space="0" w:color="000000"/>
                    <w:right w:val="single" w:sz="8" w:space="0" w:color="000000"/>
                  </w:tcBorders>
                </w:tcPr>
                <w:p>
                  <w:pPr>
                    <w:pStyle w:val="Normal"/>
                    <w:keepNext w:val="true"/>
                    <w:widowControl w:val="false"/>
                    <w:tabs>
                      <w:tab w:val="clear" w:pos="708"/>
                    </w:tabs>
                    <w:spacing w:before="0" w:after="0"/>
                    <w:ind w:left="0" w:right="0" w:hanging="0"/>
                    <w:rPr>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2</w:t>
                  </w:r>
                </w:p>
              </w:tc>
              <w:tc>
                <w:tcPr>
                  <w:tcW w:w="4875" w:type="dxa"/>
                  <w:tcBorders>
                    <w:bottom w:val="single" w:sz="8" w:space="0" w:color="000000"/>
                  </w:tcBorders>
                  <w:tcMar>
                    <w:left w:w="0" w:type="dxa"/>
                    <w:right w:w="10" w:type="dxa"/>
                  </w:tcMar>
                </w:tcPr>
                <w:p>
                  <w:pPr>
                    <w:pStyle w:val="Normal"/>
                    <w:keepNext w:val="true"/>
                    <w:widowControl w:val="false"/>
                    <w:tabs>
                      <w:tab w:val="clear" w:pos="708"/>
                    </w:tabs>
                    <w:spacing w:before="0" w:after="0"/>
                    <w:ind w:left="71" w:right="137" w:hanging="0"/>
                    <w:rPr>
                      <w:sz w:val="18"/>
                      <w:szCs w:val="18"/>
                    </w:rPr>
                  </w:pPr>
                  <w:r>
                    <w:rPr>
                      <w:rFonts w:eastAsia="Times New Roman" w:cs="Times New Roman"/>
                      <w:sz w:val="18"/>
                      <w:szCs w:val="18"/>
                    </w:rPr>
                    <w:t>более 20 % НМЦ «без учета НДС»,</w:t>
                  </w:r>
                </w:p>
                <w:p>
                  <w:pPr>
                    <w:pStyle w:val="Normal"/>
                    <w:widowControl w:val="false"/>
                    <w:tabs>
                      <w:tab w:val="clear" w:pos="708"/>
                    </w:tabs>
                    <w:spacing w:before="0" w:after="0"/>
                    <w:ind w:left="71" w:right="137" w:hanging="0"/>
                    <w:rPr>
                      <w:sz w:val="18"/>
                      <w:szCs w:val="18"/>
                    </w:rPr>
                  </w:pPr>
                  <w:r>
                    <w:rPr>
                      <w:rFonts w:eastAsia="Times New Roman" w:cs="Times New Roman"/>
                      <w:sz w:val="18"/>
                      <w:szCs w:val="18"/>
                    </w:rPr>
                    <w:t>до 40 % НМЦ «без учета НДС»</w:t>
                  </w:r>
                </w:p>
                <w:p>
                  <w:pPr>
                    <w:pStyle w:val="Normal"/>
                    <w:widowControl w:val="false"/>
                    <w:tabs>
                      <w:tab w:val="clear" w:pos="708"/>
                    </w:tabs>
                    <w:spacing w:before="0" w:after="0"/>
                    <w:ind w:left="71" w:right="137" w:hanging="0"/>
                    <w:rPr>
                      <w:sz w:val="18"/>
                      <w:szCs w:val="18"/>
                    </w:rPr>
                  </w:pPr>
                  <w:r>
                    <w:rPr>
                      <w:rFonts w:eastAsia="Times New Roman" w:cs="Times New Roman"/>
                      <w:sz w:val="18"/>
                      <w:szCs w:val="18"/>
                    </w:rPr>
                    <w:t>(включительно);</w:t>
                  </w:r>
                </w:p>
              </w:tc>
            </w:tr>
            <w:tr>
              <w:trPr>
                <w:trHeight w:val="424" w:hRule="atLeast"/>
                <w:cantSplit w:val="true"/>
              </w:trPr>
              <w:tc>
                <w:tcPr>
                  <w:tcW w:w="793" w:type="dxa"/>
                  <w:tcBorders>
                    <w:bottom w:val="single" w:sz="8" w:space="0" w:color="000000"/>
                    <w:right w:val="single" w:sz="8" w:space="0" w:color="000000"/>
                  </w:tcBorders>
                </w:tcPr>
                <w:p>
                  <w:pPr>
                    <w:pStyle w:val="Normal"/>
                    <w:keepNext w:val="true"/>
                    <w:widowControl w:val="false"/>
                    <w:tabs>
                      <w:tab w:val="clear" w:pos="708"/>
                    </w:tabs>
                    <w:spacing w:before="0" w:after="0"/>
                    <w:ind w:left="0" w:right="0" w:hanging="0"/>
                    <w:rPr>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3</w:t>
                  </w:r>
                </w:p>
              </w:tc>
              <w:tc>
                <w:tcPr>
                  <w:tcW w:w="4875" w:type="dxa"/>
                  <w:tcBorders>
                    <w:bottom w:val="single" w:sz="8" w:space="0" w:color="000000"/>
                  </w:tcBorders>
                  <w:tcMar>
                    <w:left w:w="0" w:type="dxa"/>
                    <w:right w:w="10" w:type="dxa"/>
                  </w:tcMar>
                </w:tcPr>
                <w:p>
                  <w:pPr>
                    <w:pStyle w:val="Normal"/>
                    <w:keepNext w:val="true"/>
                    <w:widowControl w:val="false"/>
                    <w:tabs>
                      <w:tab w:val="clear" w:pos="708"/>
                    </w:tabs>
                    <w:spacing w:before="0" w:after="0"/>
                    <w:ind w:left="71" w:right="137" w:hanging="0"/>
                    <w:rPr>
                      <w:sz w:val="18"/>
                      <w:szCs w:val="18"/>
                    </w:rPr>
                  </w:pPr>
                  <w:r>
                    <w:rPr>
                      <w:rFonts w:eastAsia="Times New Roman" w:cs="Times New Roman"/>
                      <w:sz w:val="18"/>
                      <w:szCs w:val="18"/>
                    </w:rPr>
                    <w:t>более 40 % НМЦ «без учета НДС»,</w:t>
                  </w:r>
                </w:p>
                <w:p>
                  <w:pPr>
                    <w:pStyle w:val="Normal"/>
                    <w:widowControl w:val="false"/>
                    <w:tabs>
                      <w:tab w:val="clear" w:pos="708"/>
                    </w:tabs>
                    <w:spacing w:before="0" w:after="0"/>
                    <w:ind w:left="71" w:right="137" w:hanging="0"/>
                    <w:rPr>
                      <w:sz w:val="18"/>
                      <w:szCs w:val="18"/>
                    </w:rPr>
                  </w:pPr>
                  <w:r>
                    <w:rPr>
                      <w:rFonts w:eastAsia="Times New Roman" w:cs="Times New Roman"/>
                      <w:sz w:val="18"/>
                      <w:szCs w:val="18"/>
                    </w:rPr>
                    <w:t>до 60 % НМЦ «без учета НДС»</w:t>
                  </w:r>
                </w:p>
                <w:p>
                  <w:pPr>
                    <w:pStyle w:val="Normal"/>
                    <w:widowControl w:val="false"/>
                    <w:tabs>
                      <w:tab w:val="clear" w:pos="708"/>
                    </w:tabs>
                    <w:spacing w:before="0" w:after="0"/>
                    <w:ind w:left="71" w:right="137" w:hanging="0"/>
                    <w:rPr>
                      <w:sz w:val="18"/>
                      <w:szCs w:val="18"/>
                    </w:rPr>
                  </w:pPr>
                  <w:r>
                    <w:rPr>
                      <w:rFonts w:eastAsia="Times New Roman" w:cs="Times New Roman"/>
                      <w:sz w:val="18"/>
                      <w:szCs w:val="18"/>
                    </w:rPr>
                    <w:t>(включительно);</w:t>
                  </w:r>
                </w:p>
              </w:tc>
            </w:tr>
            <w:tr>
              <w:trPr>
                <w:trHeight w:val="424" w:hRule="atLeast"/>
                <w:cantSplit w:val="true"/>
              </w:trPr>
              <w:tc>
                <w:tcPr>
                  <w:tcW w:w="793" w:type="dxa"/>
                  <w:tcBorders>
                    <w:bottom w:val="single" w:sz="8" w:space="0" w:color="000000"/>
                    <w:right w:val="single" w:sz="8" w:space="0" w:color="000000"/>
                  </w:tcBorders>
                </w:tcPr>
                <w:p>
                  <w:pPr>
                    <w:pStyle w:val="Normal"/>
                    <w:keepNext w:val="true"/>
                    <w:widowControl w:val="false"/>
                    <w:tabs>
                      <w:tab w:val="clear" w:pos="708"/>
                    </w:tabs>
                    <w:spacing w:before="0" w:after="0"/>
                    <w:ind w:left="0" w:right="0" w:hanging="0"/>
                    <w:rPr>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4</w:t>
                  </w:r>
                </w:p>
              </w:tc>
              <w:tc>
                <w:tcPr>
                  <w:tcW w:w="4875" w:type="dxa"/>
                  <w:tcBorders>
                    <w:bottom w:val="single" w:sz="8" w:space="0" w:color="000000"/>
                  </w:tcBorders>
                  <w:tcMar>
                    <w:left w:w="0" w:type="dxa"/>
                    <w:right w:w="10" w:type="dxa"/>
                  </w:tcMar>
                </w:tcPr>
                <w:p>
                  <w:pPr>
                    <w:pStyle w:val="Normal"/>
                    <w:keepNext w:val="true"/>
                    <w:widowControl w:val="false"/>
                    <w:tabs>
                      <w:tab w:val="clear" w:pos="708"/>
                    </w:tabs>
                    <w:spacing w:before="0" w:after="0"/>
                    <w:ind w:left="71" w:right="137" w:hanging="0"/>
                    <w:rPr>
                      <w:sz w:val="18"/>
                      <w:szCs w:val="18"/>
                    </w:rPr>
                  </w:pPr>
                  <w:r>
                    <w:rPr>
                      <w:rFonts w:eastAsia="Times New Roman" w:cs="Times New Roman"/>
                      <w:sz w:val="18"/>
                      <w:szCs w:val="18"/>
                    </w:rPr>
                    <w:t>более 60 % НМЦ «без учета НДС»,</w:t>
                  </w:r>
                </w:p>
                <w:p>
                  <w:pPr>
                    <w:pStyle w:val="Normal"/>
                    <w:widowControl w:val="false"/>
                    <w:tabs>
                      <w:tab w:val="clear" w:pos="708"/>
                    </w:tabs>
                    <w:spacing w:before="0" w:after="0"/>
                    <w:ind w:left="71" w:right="137" w:hanging="0"/>
                    <w:rPr>
                      <w:sz w:val="18"/>
                      <w:szCs w:val="18"/>
                    </w:rPr>
                  </w:pPr>
                  <w:r>
                    <w:rPr>
                      <w:rFonts w:eastAsia="Times New Roman" w:cs="Times New Roman"/>
                      <w:sz w:val="18"/>
                      <w:szCs w:val="18"/>
                    </w:rPr>
                    <w:t>до 80 % НМЦ «без учета НДС»</w:t>
                  </w:r>
                </w:p>
                <w:p>
                  <w:pPr>
                    <w:pStyle w:val="Normal"/>
                    <w:widowControl w:val="false"/>
                    <w:tabs>
                      <w:tab w:val="clear" w:pos="708"/>
                    </w:tabs>
                    <w:spacing w:before="0" w:after="0"/>
                    <w:ind w:left="71" w:right="137" w:hanging="0"/>
                    <w:rPr>
                      <w:sz w:val="18"/>
                      <w:szCs w:val="18"/>
                    </w:rPr>
                  </w:pPr>
                  <w:r>
                    <w:rPr>
                      <w:rFonts w:eastAsia="Times New Roman" w:cs="Times New Roman"/>
                      <w:sz w:val="18"/>
                      <w:szCs w:val="18"/>
                    </w:rPr>
                    <w:t>(включительно);</w:t>
                  </w:r>
                </w:p>
              </w:tc>
            </w:tr>
            <w:tr>
              <w:trPr>
                <w:trHeight w:val="140" w:hRule="atLeast"/>
                <w:cantSplit w:val="true"/>
              </w:trPr>
              <w:tc>
                <w:tcPr>
                  <w:tcW w:w="793" w:type="dxa"/>
                  <w:tcBorders>
                    <w:right w:val="single" w:sz="8" w:space="0" w:color="000000"/>
                  </w:tcBorders>
                </w:tcPr>
                <w:p>
                  <w:pPr>
                    <w:pStyle w:val="Normal"/>
                    <w:keepNext w:val="true"/>
                    <w:widowControl w:val="false"/>
                    <w:tabs>
                      <w:tab w:val="clear" w:pos="708"/>
                    </w:tabs>
                    <w:spacing w:before="0" w:after="0"/>
                    <w:ind w:left="0" w:right="0" w:hanging="0"/>
                    <w:rPr>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5</w:t>
                  </w:r>
                </w:p>
              </w:tc>
              <w:tc>
                <w:tcPr>
                  <w:tcW w:w="4875" w:type="dxa"/>
                  <w:tcBorders/>
                  <w:tcMar>
                    <w:left w:w="0" w:type="dxa"/>
                    <w:right w:w="10" w:type="dxa"/>
                  </w:tcMar>
                </w:tcPr>
                <w:p>
                  <w:pPr>
                    <w:pStyle w:val="Normal"/>
                    <w:keepNext w:val="true"/>
                    <w:widowControl w:val="false"/>
                    <w:tabs>
                      <w:tab w:val="clear" w:pos="708"/>
                    </w:tabs>
                    <w:spacing w:before="0" w:after="0"/>
                    <w:ind w:left="71" w:right="137" w:hanging="0"/>
                    <w:rPr>
                      <w:sz w:val="18"/>
                      <w:szCs w:val="18"/>
                    </w:rPr>
                  </w:pPr>
                  <w:r>
                    <w:rPr>
                      <w:rFonts w:eastAsia="Times New Roman" w:cs="Times New Roman"/>
                      <w:sz w:val="18"/>
                      <w:szCs w:val="18"/>
                    </w:rPr>
                    <w:t>более 80 % НМЦ «без учета НДС».</w:t>
                  </w:r>
                </w:p>
              </w:tc>
            </w:tr>
          </w:tbl>
          <w:p>
            <w:pPr>
              <w:pStyle w:val="Normal"/>
              <w:widowControl w:val="false"/>
              <w:spacing w:before="0" w:after="0"/>
              <w:jc w:val="left"/>
              <w:rPr>
                <w:sz w:val="18"/>
                <w:szCs w:val="18"/>
              </w:rPr>
            </w:pPr>
            <w:r>
              <w:rPr>
                <w:sz w:val="18"/>
                <w:szCs w:val="18"/>
              </w:rPr>
            </w:r>
          </w:p>
        </w:tc>
      </w:tr>
      <w:tr>
        <w:trPr/>
        <w:tc>
          <w:tcPr>
            <w:tcW w:w="1532" w:type="dxa"/>
            <w:tcBorders/>
          </w:tcPr>
          <w:p>
            <w:pPr>
              <w:pStyle w:val="Style32"/>
              <w:widowControl w:val="false"/>
              <w:suppressAutoHyphens w:val="true"/>
              <w:spacing w:before="40" w:after="40"/>
              <w:jc w:val="center"/>
              <w:rPr>
                <w:sz w:val="18"/>
                <w:szCs w:val="18"/>
              </w:rPr>
            </w:pPr>
            <w:r>
              <w:rPr>
                <w:rFonts w:eastAsia="Calibri" w:cs=""/>
                <w:kern w:val="0"/>
                <w:sz w:val="18"/>
                <w:szCs w:val="18"/>
                <w:lang w:val="ru-RU" w:eastAsia="en-US" w:bidi="ar-SA"/>
              </w:rPr>
              <w:t>3.</w:t>
            </w:r>
          </w:p>
        </w:tc>
        <w:tc>
          <w:tcPr>
            <w:tcW w:w="1269" w:type="dxa"/>
            <w:tcBorders/>
          </w:tcPr>
          <w:p>
            <w:pPr>
              <w:pStyle w:val="Style32"/>
              <w:widowControl w:val="false"/>
              <w:suppressAutoHyphens w:val="true"/>
              <w:spacing w:before="40" w:after="40"/>
              <w:jc w:val="center"/>
              <w:rPr/>
            </w:pPr>
            <w:r>
              <w:rPr>
                <w:rStyle w:val="Style8"/>
                <w:rFonts w:eastAsia="Calibri" w:cs=""/>
                <w:i w:val="false"/>
                <w:iCs w:val="false"/>
                <w:kern w:val="0"/>
                <w:sz w:val="18"/>
                <w:szCs w:val="18"/>
                <w:shd w:fill="auto" w:val="clear"/>
                <w:lang w:val="ru-RU" w:eastAsia="en-US" w:bidi="ar-SA"/>
              </w:rPr>
              <w:t>Неценовой критерий оценки первого уровня;</w:t>
              <w:br/>
              <w:t>Орг</w:t>
            </w:r>
          </w:p>
        </w:tc>
        <w:tc>
          <w:tcPr>
            <w:tcW w:w="1594" w:type="dxa"/>
            <w:tcBorders/>
          </w:tcPr>
          <w:p>
            <w:pPr>
              <w:pStyle w:val="Style32"/>
              <w:widowControl w:val="false"/>
              <w:suppressAutoHyphens w:val="true"/>
              <w:spacing w:before="40" w:after="40"/>
              <w:jc w:val="center"/>
              <w:rPr>
                <w:sz w:val="18"/>
                <w:szCs w:val="18"/>
              </w:rPr>
            </w:pPr>
            <w:r>
              <w:rPr>
                <w:rFonts w:eastAsia="Calibri" w:cs=""/>
                <w:kern w:val="0"/>
                <w:sz w:val="18"/>
                <w:szCs w:val="18"/>
                <w:lang w:val="ru-RU" w:eastAsia="en-US" w:bidi="ar-SA"/>
              </w:rPr>
              <w:t>Финансовое состояние (устойчивость) Участника</w:t>
            </w:r>
          </w:p>
        </w:tc>
        <w:tc>
          <w:tcPr>
            <w:tcW w:w="1701" w:type="dxa"/>
            <w:tcBorders/>
          </w:tcPr>
          <w:p>
            <w:pPr>
              <w:pStyle w:val="Style32"/>
              <w:widowControl w:val="false"/>
              <w:suppressAutoHyphens w:val="true"/>
              <w:spacing w:before="40" w:after="40"/>
              <w:jc w:val="center"/>
              <w:rPr>
                <w:sz w:val="18"/>
                <w:szCs w:val="18"/>
              </w:rPr>
            </w:pPr>
            <w:r>
              <w:rPr>
                <w:rFonts w:eastAsia="Calibri" w:cs=""/>
                <w:i/>
                <w:iCs/>
                <w:kern w:val="0"/>
                <w:sz w:val="18"/>
                <w:szCs w:val="18"/>
                <w:lang w:val="ru-RU" w:eastAsia="en-US" w:bidi="ar-SA"/>
              </w:rPr>
              <w:t>отсутствует</w:t>
            </w:r>
          </w:p>
        </w:tc>
        <w:tc>
          <w:tcPr>
            <w:tcW w:w="1841" w:type="dxa"/>
            <w:tcBorders/>
          </w:tcPr>
          <w:p>
            <w:pPr>
              <w:pStyle w:val="Style32"/>
              <w:widowControl w:val="false"/>
              <w:suppressAutoHyphens w:val="true"/>
              <w:spacing w:before="40" w:after="40"/>
              <w:jc w:val="center"/>
              <w:rPr>
                <w:rStyle w:val="Style8"/>
                <w:sz w:val="18"/>
                <w:szCs w:val="18"/>
              </w:rPr>
            </w:pPr>
            <w:r>
              <w:rPr>
                <w:sz w:val="18"/>
                <w:szCs w:val="18"/>
              </w:rPr>
            </w:r>
          </w:p>
          <w:p>
            <w:pPr>
              <w:pStyle w:val="Normal"/>
              <w:widowControl w:val="false"/>
              <w:numPr>
                <w:ilvl w:val="0"/>
                <w:numId w:val="0"/>
              </w:numPr>
              <w:suppressAutoHyphens w:val="true"/>
              <w:spacing w:before="0" w:after="60"/>
              <w:ind w:left="0" w:hanging="0"/>
              <w:contextualSpacing/>
              <w:jc w:val="center"/>
              <w:rPr>
                <w:i w:val="false"/>
                <w:i w:val="false"/>
                <w:iCs w:val="false"/>
                <w:highlight w:val="none"/>
                <w:shd w:fill="auto" w:val="clear"/>
              </w:rPr>
            </w:pPr>
            <w:r>
              <w:rPr>
                <w:rFonts w:eastAsia="Calibri" w:cs="Arial"/>
                <w:i w:val="false"/>
                <w:iCs w:val="false"/>
                <w:kern w:val="0"/>
                <w:sz w:val="18"/>
                <w:szCs w:val="18"/>
                <w:shd w:fill="auto" w:val="clear"/>
                <w:lang w:val="en-US" w:eastAsia="en-US" w:bidi="ar-SA"/>
              </w:rPr>
              <w:t>5%</w:t>
            </w:r>
          </w:p>
          <w:p>
            <w:pPr>
              <w:pStyle w:val="Normal"/>
              <w:widowControl w:val="false"/>
              <w:numPr>
                <w:ilvl w:val="0"/>
                <w:numId w:val="0"/>
              </w:numPr>
              <w:suppressAutoHyphens w:val="true"/>
              <w:spacing w:before="0" w:after="60"/>
              <w:ind w:left="0" w:hanging="0"/>
              <w:contextualSpacing/>
              <w:jc w:val="center"/>
              <w:rPr/>
            </w:pPr>
            <w:r>
              <w:rPr>
                <w:rStyle w:val="Style8"/>
                <w:rFonts w:eastAsia="Calibri" w:cs="Arial"/>
                <w:i w:val="false"/>
                <w:iCs w:val="false"/>
                <w:kern w:val="0"/>
                <w:sz w:val="18"/>
                <w:szCs w:val="18"/>
                <w:shd w:fill="auto" w:val="clear"/>
                <w:lang w:val="en-US" w:eastAsia="en-US" w:bidi="ar-SA"/>
              </w:rPr>
              <w:t>(В</w:t>
            </w:r>
            <w:r>
              <w:rPr>
                <w:rStyle w:val="Style8"/>
                <w:rFonts w:eastAsia="Calibri" w:cs="Arial"/>
                <w:i w:val="false"/>
                <w:iCs w:val="false"/>
                <w:kern w:val="0"/>
                <w:sz w:val="18"/>
                <w:szCs w:val="18"/>
                <w:shd w:fill="auto" w:val="clear"/>
                <w:vertAlign w:val="subscript"/>
                <w:lang w:val="en-US" w:eastAsia="en-US" w:bidi="ar-SA"/>
              </w:rPr>
              <w:t>3</w:t>
            </w:r>
            <w:r>
              <w:rPr>
                <w:rStyle w:val="Style8"/>
                <w:rFonts w:eastAsia="Calibri" w:cs="Arial"/>
                <w:i w:val="false"/>
                <w:iCs w:val="false"/>
                <w:kern w:val="0"/>
                <w:sz w:val="18"/>
                <w:szCs w:val="18"/>
                <w:shd w:fill="auto" w:val="clear"/>
                <w:lang w:val="en-US" w:eastAsia="en-US" w:bidi="ar-SA"/>
              </w:rPr>
              <w:t xml:space="preserve"> = 0,05)</w:t>
            </w:r>
          </w:p>
        </w:tc>
        <w:tc>
          <w:tcPr>
            <w:tcW w:w="1986" w:type="dxa"/>
            <w:tcBorders/>
          </w:tcPr>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Чем выше оценка финансового состояния (устойчивости) Участника, тем выше предпочтительность</w:t>
            </w:r>
          </w:p>
        </w:tc>
        <w:tc>
          <w:tcPr>
            <w:tcW w:w="4110" w:type="dxa"/>
            <w:tcBorders/>
          </w:tcPr>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 xml:space="preserve">Порядок осуществления оценки (значение оцениваемого параметра), в зависимости от полученного Участником (с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удовлетворительное) по результатам проведенной в рамках аккредитации оценки его финансового состояния (устойчивости), при этом:</w:t>
            </w:r>
          </w:p>
          <w:p>
            <w:pPr>
              <w:pStyle w:val="Style32"/>
              <w:keepNext w:val="true"/>
              <w:widowControl w:val="false"/>
              <w:numPr>
                <w:ilvl w:val="0"/>
                <w:numId w:val="13"/>
              </w:numPr>
              <w:suppressAutoHyphens w:val="true"/>
              <w:spacing w:before="40" w:after="40"/>
              <w:ind w:left="142" w:hanging="142"/>
              <w:jc w:val="left"/>
              <w:rPr>
                <w:sz w:val="18"/>
                <w:szCs w:val="18"/>
              </w:rPr>
            </w:pPr>
            <w:r>
              <w:rPr>
                <w:rFonts w:eastAsia="Calibri" w:cs=""/>
                <w:kern w:val="0"/>
                <w:sz w:val="18"/>
                <w:szCs w:val="18"/>
                <w:lang w:val="ru-RU" w:eastAsia="en-US" w:bidi="ar-SA"/>
              </w:rPr>
              <w:t>порядок проведения оценки финансового состояния (устойчивости) Участника установлен в Приложении 4 к Положению об аккредитации</w:t>
            </w:r>
            <w:r>
              <w:rPr>
                <w:rStyle w:val="FootnoteReference"/>
                <w:rFonts w:eastAsia="Calibri" w:cs=""/>
                <w:kern w:val="0"/>
                <w:sz w:val="18"/>
                <w:szCs w:val="18"/>
                <w:lang w:val="ru-RU" w:eastAsia="en-US" w:bidi="ar-SA"/>
              </w:rPr>
              <w:footnoteReference w:id="13"/>
            </w:r>
            <w:r>
              <w:rPr>
                <w:rFonts w:eastAsia="Calibri" w:cs=""/>
                <w:kern w:val="0"/>
                <w:sz w:val="18"/>
                <w:szCs w:val="18"/>
                <w:lang w:val="ru-RU" w:eastAsia="en-US" w:bidi="ar-SA"/>
              </w:rPr>
              <w:t>;</w:t>
            </w:r>
          </w:p>
          <w:p>
            <w:pPr>
              <w:pStyle w:val="Style32"/>
              <w:keepNext w:val="true"/>
              <w:widowControl w:val="false"/>
              <w:numPr>
                <w:ilvl w:val="0"/>
                <w:numId w:val="13"/>
              </w:numPr>
              <w:suppressAutoHyphens w:val="true"/>
              <w:spacing w:before="40" w:after="40"/>
              <w:ind w:left="142" w:hanging="142"/>
              <w:jc w:val="left"/>
              <w:rPr>
                <w:sz w:val="18"/>
                <w:szCs w:val="18"/>
              </w:rPr>
            </w:pPr>
            <w:r>
              <w:rPr>
                <w:rFonts w:eastAsia="Calibri" w:cs=""/>
                <w:kern w:val="0"/>
                <w:sz w:val="18"/>
                <w:szCs w:val="18"/>
                <w:lang w:val="ru-RU" w:eastAsia="en-US" w:bidi="ar-SA"/>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 по состоянию на дату окончания срока подачи заявок.</w:t>
            </w:r>
          </w:p>
          <w:p>
            <w:pPr>
              <w:pStyle w:val="Style32"/>
              <w:keepNext w:val="true"/>
              <w:widowControl w:val="false"/>
              <w:suppressAutoHyphens w:val="true"/>
              <w:spacing w:before="40" w:after="40"/>
              <w:ind w:left="142" w:hanging="0"/>
              <w:jc w:val="left"/>
              <w:rPr>
                <w:sz w:val="18"/>
                <w:szCs w:val="18"/>
              </w:rPr>
            </w:pPr>
            <w:r>
              <w:rPr>
                <w:rFonts w:eastAsia="Calibri" w:cs=""/>
                <w:kern w:val="0"/>
                <w:sz w:val="18"/>
                <w:szCs w:val="18"/>
                <w:lang w:val="ru-RU" w:eastAsia="en-US" w:bidi="ar-SA"/>
              </w:rPr>
              <w:t>Если Участник в соответствии с законодательством не размещает сведения о своей бухгалтерской (финансовой) отчетности (по формам ОКУД 0710001, 0710002) в упомянутом государственном информационном ресурсе –оценка его финансового состояния производится на основании электронной копии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32"/>
              <w:keepNext w:val="true"/>
              <w:widowControl w:val="false"/>
              <w:suppressAutoHyphens w:val="true"/>
              <w:spacing w:before="40" w:after="40"/>
              <w:ind w:left="142" w:hanging="0"/>
              <w:jc w:val="left"/>
              <w:rPr>
                <w:sz w:val="18"/>
                <w:szCs w:val="18"/>
              </w:rPr>
            </w:pPr>
            <w:r>
              <w:rPr>
                <w:rFonts w:eastAsia="Calibri" w:cs=""/>
                <w:kern w:val="0"/>
                <w:sz w:val="18"/>
                <w:szCs w:val="18"/>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32"/>
              <w:keepNext w:val="true"/>
              <w:widowControl w:val="false"/>
              <w:numPr>
                <w:ilvl w:val="0"/>
                <w:numId w:val="13"/>
              </w:numPr>
              <w:suppressAutoHyphens w:val="true"/>
              <w:spacing w:before="40" w:after="40"/>
              <w:ind w:left="284" w:hanging="142"/>
              <w:jc w:val="left"/>
              <w:rPr>
                <w:sz w:val="18"/>
                <w:szCs w:val="18"/>
              </w:rPr>
            </w:pPr>
            <w:r>
              <w:rPr>
                <w:rFonts w:eastAsia="Calibri" w:cs=""/>
                <w:kern w:val="0"/>
                <w:sz w:val="18"/>
                <w:szCs w:val="18"/>
                <w:lang w:val="ru-RU" w:eastAsia="en-US" w:bidi="ar-SA"/>
              </w:rPr>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32"/>
              <w:keepNext w:val="true"/>
              <w:widowControl w:val="false"/>
              <w:numPr>
                <w:ilvl w:val="0"/>
                <w:numId w:val="13"/>
              </w:numPr>
              <w:suppressAutoHyphens w:val="true"/>
              <w:spacing w:before="40" w:after="40"/>
              <w:ind w:left="284" w:hanging="142"/>
              <w:jc w:val="left"/>
              <w:rPr>
                <w:sz w:val="18"/>
                <w:szCs w:val="18"/>
              </w:rPr>
            </w:pPr>
            <w:r>
              <w:rPr>
                <w:rFonts w:eastAsia="Calibri" w:cs=""/>
                <w:kern w:val="0"/>
                <w:sz w:val="18"/>
                <w:szCs w:val="18"/>
                <w:lang w:val="ru-RU" w:eastAsia="en-US" w:bidi="ar-SA"/>
              </w:rPr>
              <w:t>дополнительных сведений о размере всех требуемых показателей согласно данным бухгалтерской (финансовой) отчетности по установленной форме (</w:t>
            </w:r>
            <w:hyperlink w:anchor="Прил11_Данные_бухотчетность">
              <w:r>
                <w:rPr>
                  <w:rStyle w:val="Hyperlink"/>
                  <w:rFonts w:eastAsia="Calibri" w:cs=""/>
                  <w:kern w:val="0"/>
                  <w:sz w:val="18"/>
                  <w:szCs w:val="18"/>
                  <w:lang w:val="ru-RU" w:eastAsia="en-US" w:bidi="ar-SA"/>
                </w:rPr>
                <w:t>Приложение № 11</w:t>
              </w:r>
            </w:hyperlink>
            <w:r>
              <w:rPr>
                <w:rFonts w:eastAsia="Calibri" w:cs=""/>
                <w:kern w:val="0"/>
                <w:sz w:val="18"/>
                <w:szCs w:val="18"/>
                <w:lang w:val="ru-RU" w:eastAsia="en-US" w:bidi="ar-SA"/>
              </w:rPr>
              <w:t>).</w:t>
            </w:r>
          </w:p>
          <w:p>
            <w:pPr>
              <w:pStyle w:val="Style32"/>
              <w:keepNext w:val="true"/>
              <w:widowControl w:val="false"/>
              <w:suppressAutoHyphens w:val="true"/>
              <w:spacing w:before="40" w:after="40"/>
              <w:jc w:val="left"/>
              <w:rPr>
                <w:sz w:val="18"/>
                <w:szCs w:val="18"/>
              </w:rPr>
            </w:pPr>
            <w:r>
              <w:rPr>
                <w:rFonts w:eastAsia="Calibri" w:cs=""/>
                <w:kern w:val="0"/>
                <w:sz w:val="18"/>
                <w:szCs w:val="18"/>
                <w:lang w:val="ru-RU" w:eastAsia="en-US" w:bidi="ar-SA"/>
              </w:rPr>
              <w:t>Оценка предпочтительности по частному критерию осуществляется в соответствии со следующей шкалой:</w:t>
            </w:r>
          </w:p>
          <w:tbl>
            <w:tblPr>
              <w:tblStyle w:val="af9"/>
              <w:tblW w:w="3914"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89"/>
              <w:gridCol w:w="3124"/>
            </w:tblGrid>
            <w:tr>
              <w:trPr>
                <w:cnfStyle w:val="100000000000" w:firstRow="1" w:lastRow="0" w:firstColumn="0" w:lastColumn="0" w:oddVBand="0" w:evenVBand="0" w:oddHBand="0" w:evenHBand="0" w:firstRowFirstColumn="0" w:firstRowLastColumn="0" w:lastRowFirstColumn="0" w:lastRowLastColumn="0"/>
              </w:trPr>
              <w:tc>
                <w:tcPr>
                  <w:tcW w:w="789" w:type="dxa"/>
                  <w:tcBorders>
                    <w:top w:val="nil"/>
                    <w:left w:val="nil"/>
                  </w:tcBorders>
                </w:tcPr>
                <w:p>
                  <w:pPr>
                    <w:pStyle w:val="Style32"/>
                    <w:keepNext w:val="false"/>
                    <w:keepLines w:val="false"/>
                    <w:widowControl w:val="false"/>
                    <w:suppressAutoHyphens w:val="true"/>
                    <w:spacing w:before="40" w:after="40"/>
                    <w:jc w:val="left"/>
                    <w:rPr>
                      <w:b w:val="false"/>
                      <w:bCs/>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0</m:t>
                      </m:r>
                    </m:oMath>
                  </m:oMathPara>
                </w:p>
              </w:tc>
              <w:tc>
                <w:tcPr>
                  <w:tcW w:w="3124" w:type="dxa"/>
                  <w:tcBorders>
                    <w:top w:val="nil"/>
                    <w:right w:val="nil"/>
                  </w:tcBorders>
                </w:tcPr>
                <w:p>
                  <w:pPr>
                    <w:pStyle w:val="Style32"/>
                    <w:keepNext w:val="true"/>
                    <w:keepLines w:val="false"/>
                    <w:widowControl w:val="false"/>
                    <w:suppressAutoHyphens w:val="true"/>
                    <w:spacing w:before="40" w:after="40"/>
                    <w:jc w:val="left"/>
                    <w:rPr>
                      <w:b w:val="false"/>
                      <w:sz w:val="18"/>
                      <w:szCs w:val="18"/>
                    </w:rPr>
                  </w:pPr>
                  <w:r>
                    <w:rPr>
                      <w:rFonts w:eastAsia="Calibri" w:cs=""/>
                      <w:b w:val="false"/>
                      <w:kern w:val="0"/>
                      <w:sz w:val="18"/>
                      <w:szCs w:val="18"/>
                      <w:lang w:val="ru-RU" w:eastAsia="en-US" w:bidi="ar-SA"/>
                    </w:rPr>
                    <w:t>результат оценки финансового состояния (устойчивости): менее 0,45 баллов – Кризисное финансовое состояние</w:t>
                  </w:r>
                </w:p>
                <w:p>
                  <w:pPr>
                    <w:pStyle w:val="Style32"/>
                    <w:keepNext w:val="true"/>
                    <w:keepLines w:val="false"/>
                    <w:widowControl w:val="false"/>
                    <w:suppressAutoHyphens w:val="true"/>
                    <w:spacing w:before="40" w:after="40"/>
                    <w:jc w:val="left"/>
                    <w:rPr>
                      <w:b w:val="false"/>
                      <w:i/>
                      <w:i/>
                      <w:iCs/>
                      <w:sz w:val="18"/>
                      <w:szCs w:val="18"/>
                    </w:rPr>
                  </w:pPr>
                  <w:r>
                    <w:rPr>
                      <w:rFonts w:eastAsia="Calibri" w:cs=""/>
                      <w:b w:val="false"/>
                      <w:i/>
                      <w:iCs/>
                      <w:kern w:val="0"/>
                      <w:sz w:val="18"/>
                      <w:szCs w:val="18"/>
                      <w:lang w:val="ru-RU" w:eastAsia="en-US" w:bidi="ar-SA"/>
                    </w:rPr>
                    <w:t>или</w:t>
                  </w:r>
                </w:p>
                <w:p>
                  <w:pPr>
                    <w:pStyle w:val="Style32"/>
                    <w:keepNext w:val="true"/>
                    <w:keepLines w:val="false"/>
                    <w:widowControl w:val="false"/>
                    <w:suppressAutoHyphens w:val="true"/>
                    <w:spacing w:before="40" w:after="40"/>
                    <w:jc w:val="left"/>
                    <w:rPr>
                      <w:b w:val="false"/>
                      <w:sz w:val="18"/>
                      <w:szCs w:val="18"/>
                    </w:rPr>
                  </w:pPr>
                  <w:r>
                    <w:rPr>
                      <w:rFonts w:eastAsia="Calibri" w:cs=""/>
                      <w:b w:val="false"/>
                      <w:kern w:val="0"/>
                      <w:sz w:val="18"/>
                      <w:szCs w:val="18"/>
                      <w:lang w:val="ru-RU" w:eastAsia="en-US" w:bidi="ar-SA"/>
                    </w:rPr>
                    <w:t>в случае отсутствия исходных данных для оценки финансового состояния Участника, в том числе если он является:</w:t>
                  </w:r>
                </w:p>
                <w:p>
                  <w:pPr>
                    <w:pStyle w:val="Style32"/>
                    <w:keepNext w:val="true"/>
                    <w:keepLines w:val="false"/>
                    <w:widowControl w:val="false"/>
                    <w:numPr>
                      <w:ilvl w:val="0"/>
                      <w:numId w:val="13"/>
                    </w:numPr>
                    <w:suppressAutoHyphens w:val="true"/>
                    <w:spacing w:before="40" w:after="40"/>
                    <w:ind w:left="142" w:hanging="142"/>
                    <w:jc w:val="left"/>
                    <w:rPr>
                      <w:b w:val="false"/>
                      <w:sz w:val="18"/>
                      <w:szCs w:val="18"/>
                    </w:rPr>
                  </w:pPr>
                  <w:r>
                    <w:rPr>
                      <w:rFonts w:eastAsia="Calibri" w:cs=""/>
                      <w:b w:val="false"/>
                      <w:kern w:val="0"/>
                      <w:sz w:val="18"/>
                      <w:szCs w:val="18"/>
                      <w:lang w:val="ru-RU" w:eastAsia="en-US" w:bidi="ar-SA"/>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pPr>
                    <w:pStyle w:val="Style32"/>
                    <w:keepNext w:val="false"/>
                    <w:keepLines w:val="false"/>
                    <w:widowControl w:val="false"/>
                    <w:numPr>
                      <w:ilvl w:val="0"/>
                      <w:numId w:val="13"/>
                    </w:numPr>
                    <w:suppressAutoHyphens w:val="true"/>
                    <w:spacing w:before="40" w:after="40"/>
                    <w:ind w:left="142" w:hanging="142"/>
                    <w:jc w:val="left"/>
                    <w:rPr>
                      <w:b w:val="false"/>
                      <w:sz w:val="18"/>
                      <w:szCs w:val="18"/>
                    </w:rPr>
                  </w:pPr>
                  <w:r>
                    <w:rPr>
                      <w:rFonts w:eastAsia="Calibri" w:cs=""/>
                      <w:b w:val="false"/>
                      <w:kern w:val="0"/>
                      <w:sz w:val="18"/>
                      <w:szCs w:val="18"/>
                      <w:lang w:val="ru-RU" w:eastAsia="en-US" w:bidi="ar-SA"/>
                    </w:rPr>
                    <w:t>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trPr/>
              <w:tc>
                <w:tcPr>
                  <w:tcW w:w="789" w:type="dxa"/>
                  <w:tcBorders>
                    <w:left w:val="nil"/>
                  </w:tcBorders>
                </w:tcPr>
                <w:p>
                  <w:pPr>
                    <w:pStyle w:val="Style32"/>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3</m:t>
                      </m:r>
                    </m:oMath>
                  </m:oMathPara>
                </w:p>
              </w:tc>
              <w:tc>
                <w:tcPr>
                  <w:tcW w:w="3124" w:type="dxa"/>
                  <w:tcBorders>
                    <w:right w:val="nil"/>
                  </w:tcBorders>
                </w:tcPr>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trPr/>
              <w:tc>
                <w:tcPr>
                  <w:tcW w:w="789" w:type="dxa"/>
                  <w:tcBorders>
                    <w:left w:val="nil"/>
                    <w:bottom w:val="nil"/>
                  </w:tcBorders>
                </w:tcPr>
                <w:p>
                  <w:pPr>
                    <w:pStyle w:val="Style32"/>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5</m:t>
                      </m:r>
                    </m:oMath>
                  </m:oMathPara>
                </w:p>
              </w:tc>
              <w:tc>
                <w:tcPr>
                  <w:tcW w:w="3124" w:type="dxa"/>
                  <w:tcBorders>
                    <w:bottom w:val="nil"/>
                    <w:right w:val="nil"/>
                  </w:tcBorders>
                </w:tcPr>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результат оценки финансового состояния (устойчивости): более 0,90 баллов – Удовлетворительное финансовое состояние,</w:t>
                  </w:r>
                </w:p>
              </w:tc>
            </w:tr>
          </w:tbl>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где:</w:t>
            </w:r>
          </w:p>
          <w:p>
            <w:pPr>
              <w:pStyle w:val="Style32"/>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i</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оценка предпочтительности по частному критерию оценки в баллах.</w:t>
            </w:r>
          </w:p>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Шкала оценок от 0 до 5 баллов.</w:t>
            </w:r>
          </w:p>
          <w:p>
            <w:pPr>
              <w:pStyle w:val="Style32"/>
              <w:widowControl w:val="false"/>
              <w:suppressAutoHyphens w:val="true"/>
              <w:spacing w:before="40" w:after="40"/>
              <w:jc w:val="left"/>
              <w:rPr>
                <w:sz w:val="18"/>
                <w:szCs w:val="18"/>
              </w:rPr>
            </w:pPr>
            <w:r>
              <w:rPr>
                <w:rFonts w:eastAsia="Calibri" w:cs=""/>
                <w:i/>
                <w:iCs/>
                <w:kern w:val="0"/>
                <w:sz w:val="18"/>
                <w:szCs w:val="18"/>
                <w:lang w:val="ru-RU" w:eastAsia="en-US"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tc>
      </w:tr>
      <w:tr>
        <w:trPr/>
        <w:tc>
          <w:tcPr>
            <w:tcW w:w="6096" w:type="dxa"/>
            <w:gridSpan w:val="4"/>
            <w:tcBorders/>
          </w:tcPr>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Итоговая оценка предпочтительности заявки:</w:t>
            </w:r>
          </w:p>
        </w:tc>
        <w:tc>
          <w:tcPr>
            <w:tcW w:w="7937" w:type="dxa"/>
            <w:gridSpan w:val="3"/>
            <w:tcBorders/>
          </w:tcPr>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заявки:</w:t>
            </w:r>
          </w:p>
          <w:p>
            <w:pPr>
              <w:pStyle w:val="Style32"/>
              <w:widowControl w:val="false"/>
              <w:suppressAutoHyphens w:val="true"/>
              <w:spacing w:before="40" w:after="40"/>
              <w:jc w:val="center"/>
              <w:rPr>
                <w:i/>
                <w:i/>
                <w:sz w:val="18"/>
                <w:szCs w:val="18"/>
                <w:lang w:val="en-US"/>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r>
                          <w:rPr>
                            <w:rFonts w:ascii="Cambria Math" w:hAnsi="Cambria Math"/>
                          </w:rPr>
                          <m:t xml:space="preserve">×</m:t>
                        </m:r>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e>
                    </m:d>
                  </m:e>
                </m:nary>
                <m:r>
                  <w:rPr>
                    <w:rFonts w:ascii="Cambria Math" w:hAnsi="Cambria Math"/>
                  </w:rPr>
                  <m:t xml:space="preserve">,</m:t>
                </m:r>
              </m:oMath>
            </m:oMathPara>
          </w:p>
          <w:p>
            <w:pPr>
              <w:pStyle w:val="Style32"/>
              <w:widowControl w:val="false"/>
              <w:suppressAutoHyphens w:val="true"/>
              <w:spacing w:before="40" w:after="40"/>
              <w:jc w:val="left"/>
              <w:rPr>
                <w:sz w:val="18"/>
                <w:szCs w:val="18"/>
              </w:rPr>
            </w:pPr>
            <w:r>
              <w:rPr>
                <w:rFonts w:eastAsia="Calibri" w:cs=""/>
                <w:kern w:val="0"/>
                <w:sz w:val="18"/>
                <w:szCs w:val="18"/>
                <w:lang w:val="ru-RU" w:eastAsia="en-US" w:bidi="ar-SA"/>
              </w:rPr>
              <w:t>где:</w:t>
            </w:r>
          </w:p>
          <w:p>
            <w:pPr>
              <w:pStyle w:val="Style32"/>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итоговая оценка предпочтительности в баллах;</w:t>
            </w:r>
          </w:p>
          <w:p>
            <w:pPr>
              <w:pStyle w:val="Style32"/>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-тому критерию оценки первого уровня в баллах;</w:t>
            </w:r>
          </w:p>
          <w:p>
            <w:pPr>
              <w:pStyle w:val="Style32"/>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значимость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-ого критерия оценки первого уровня.</w:t>
            </w:r>
          </w:p>
          <w:p>
            <w:pPr>
              <w:pStyle w:val="Style32"/>
              <w:widowControl w:val="false"/>
              <w:suppressAutoHyphens w:val="true"/>
              <w:spacing w:before="40" w:after="40"/>
              <w:jc w:val="left"/>
              <w:rPr>
                <w:i/>
                <w:i/>
                <w:iCs/>
                <w:sz w:val="18"/>
                <w:szCs w:val="18"/>
              </w:rPr>
            </w:pPr>
            <w:r>
              <w:rPr>
                <w:rFonts w:eastAsia="Calibri" w:cs=""/>
                <w:i/>
                <w:iCs/>
                <w:kern w:val="0"/>
                <w:sz w:val="18"/>
                <w:szCs w:val="18"/>
                <w:lang w:val="ru-RU"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8"/>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8"/>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p>
    <w:p>
      <w:pPr>
        <w:sectPr>
          <w:headerReference w:type="default" r:id="rId26"/>
          <w:headerReference w:type="first" r:id="rId27"/>
          <w:footerReference w:type="default" r:id="rId28"/>
          <w:footerReference w:type="first" r:id="rId29"/>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8"/>
        <w:rPr/>
      </w:pPr>
      <w:r>
        <w:rPr/>
        <w:t>Заявки участников (из числа успешно прошедших отборочную стадию рассмотрения вторых частей заявок и ценовых предложений) ранжируются по количеству набранных баллов (от наибольшего к наименьшему), присвоенных заявкам по результатам оценки.</w:t>
      </w:r>
    </w:p>
    <w:p>
      <w:pPr>
        <w:pStyle w:val="Style26"/>
        <w:rPr/>
      </w:pPr>
      <w:bookmarkStart w:id="390" w:name="_Ref125360420"/>
      <w:bookmarkStart w:id="391" w:name="_Toc228877733"/>
      <w:bookmarkStart w:id="392" w:name="Прил09_ОбоснованиеНМЦ"/>
      <w:bookmarkEnd w:id="392"/>
      <w:r>
        <w:rPr/>
        <w:t>Приложение № 9 – Обоснование НМЦ</w:t>
      </w:r>
      <w:bookmarkEnd w:id="390"/>
      <w:bookmarkEnd w:id="391"/>
    </w:p>
    <w:p>
      <w:pPr>
        <w:pStyle w:val="Style27"/>
        <w:rPr/>
      </w:pPr>
      <w:bookmarkStart w:id="393" w:name="_Toc228877734"/>
      <w:r>
        <w:rPr/>
        <w:t>Пояснения к Обоснованию НМЦ</w:t>
      </w:r>
      <w:bookmarkEnd w:id="393"/>
    </w:p>
    <w:p>
      <w:pPr>
        <w:pStyle w:val="Style28"/>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6"/>
        <w:rPr/>
      </w:pPr>
      <w:bookmarkStart w:id="394" w:name="_Toc228877735"/>
      <w:bookmarkStart w:id="395" w:name="Прил10_ФормаЗаявкиНаАккредитацию"/>
      <w:bookmarkEnd w:id="395"/>
      <w:r>
        <w:rPr/>
        <w:t>Приложение № 10 – Форма Заявки на аккредитацию</w:t>
      </w:r>
      <w:bookmarkEnd w:id="394"/>
    </w:p>
    <w:p>
      <w:pPr>
        <w:pStyle w:val="Style27"/>
        <w:rPr/>
      </w:pPr>
      <w:bookmarkStart w:id="396" w:name="_Toc228877736"/>
      <w:r>
        <w:rPr/>
        <w:t>Пояснения к форме Заявки на аккредитацию</w:t>
      </w:r>
      <w:bookmarkEnd w:id="396"/>
    </w:p>
    <w:p>
      <w:pPr>
        <w:pStyle w:val="Style28"/>
        <w:rPr/>
      </w:pPr>
      <w:r>
        <w:rPr/>
        <w:t xml:space="preserve">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 </w:t>
      </w:r>
    </w:p>
    <w:p>
      <w:pPr>
        <w:pStyle w:val="Style28"/>
        <w:rPr/>
      </w:pPr>
      <w:r>
        <w:rPr/>
        <w:t xml:space="preserve">Заявка на аккредитацию предоставляется (в установленных Документацией о закупке случаях) Участником в составе своей заявки </w:t>
      </w:r>
      <w:bookmarkStart w:id="397" w:name="_Hlk207300788"/>
      <w:r>
        <w:rPr/>
        <w:t xml:space="preserve">только в электронном виде в формате </w:t>
      </w:r>
      <w:r>
        <w:rPr>
          <w:lang w:val="en-US"/>
        </w:rPr>
        <w:t>Microsoft</w:t>
      </w:r>
      <w:r>
        <w:rPr/>
        <w:t xml:space="preserve"> </w:t>
      </w:r>
      <w:r>
        <w:rPr>
          <w:lang w:val="en-US"/>
        </w:rPr>
        <w:t>Excel</w:t>
      </w:r>
      <w:r>
        <w:rPr/>
        <w:t xml:space="preserve"> (*.</w:t>
      </w:r>
      <w:r>
        <w:rPr>
          <w:lang w:val="en-US"/>
        </w:rPr>
        <w:t>xlsx</w:t>
      </w:r>
      <w:r>
        <w:rPr/>
        <w:t>))</w:t>
      </w:r>
      <w:bookmarkEnd w:id="397"/>
      <w:r>
        <w:rPr/>
        <w:t>.</w:t>
      </w:r>
    </w:p>
    <w:p>
      <w:pPr>
        <w:pStyle w:val="Style32"/>
        <w:jc w:val="center"/>
        <w:rPr/>
      </w:pPr>
      <w:r>
        <w:rPr/>
        <w:object>
          <v:shapetype id="_x0000_tole_rId30" coordsize="21600,21600" o:spt="ole_rId3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0" type="_x0000_tole_rId30" style="width:75.65pt;height:52.05pt;mso-wrap-distance-right:0pt" filled="f" o:ole="">
            <v:imagedata r:id="rId31" o:title=""/>
          </v:shape>
          <o:OLEObject Type="Embed" ProgID="Excel.Sheet.12" ShapeID="ole_rId30" DrawAspect="Icon" ObjectID="_2136125601" r:id="rId30"/>
        </w:object>
      </w:r>
    </w:p>
    <w:p>
      <w:pPr>
        <w:pStyle w:val="Style26"/>
        <w:rPr/>
      </w:pPr>
      <w:bookmarkStart w:id="398" w:name="_Toc228877737"/>
      <w:bookmarkStart w:id="399" w:name="Прил11_Данные_бухотчетность"/>
      <w:r>
        <w:rPr/>
        <w:t xml:space="preserve">Приложение № 11 </w:t>
      </w:r>
      <w:bookmarkEnd w:id="399"/>
      <w:r>
        <w:rPr/>
        <w:t>– форма Данных бухгалтерской (финансовой) отчетности</w:t>
      </w:r>
      <w:bookmarkEnd w:id="398"/>
    </w:p>
    <w:p>
      <w:pPr>
        <w:pStyle w:val="Style27"/>
        <w:rPr/>
      </w:pPr>
      <w:bookmarkStart w:id="400" w:name="_Toc228877738"/>
      <w:r>
        <w:rPr/>
        <w:t>Пояснения к форме Данных бухгалтерской (финансовой) отчетности</w:t>
      </w:r>
      <w:bookmarkEnd w:id="400"/>
      <w:r>
        <w:rPr/>
        <w:t xml:space="preserve"> </w:t>
      </w:r>
    </w:p>
    <w:p>
      <w:pPr>
        <w:pStyle w:val="Style28"/>
        <w:rPr/>
      </w:pPr>
      <w:r>
        <w:rPr/>
        <w:t>Форма Данных бухгалтерской (финансовой) отчетности приведена в отдельном файле (предоставляется отдельным документом в составе Документации о закупке), являющимся Приложением № 11 к Документации о закупке.</w:t>
      </w:r>
    </w:p>
    <w:p>
      <w:pPr>
        <w:pStyle w:val="Normal"/>
        <w:rPr/>
      </w:pPr>
      <w:r>
        <w:rPr/>
      </w:r>
      <w:bookmarkStart w:id="401" w:name="_MON_1821256687"/>
      <w:bookmarkStart w:id="402" w:name="_MON_1821256687"/>
      <w:bookmarkEnd w:id="402"/>
    </w:p>
    <w:p>
      <w:pPr>
        <w:pStyle w:val="Normal"/>
        <w:jc w:val="center"/>
        <w:rPr/>
      </w:pPr>
      <w:bookmarkStart w:id="403" w:name="_Hlk210644436"/>
      <w:bookmarkStart w:id="404" w:name="_MON_1821256687_Копия_1"/>
      <w:bookmarkEnd w:id="404"/>
      <w:r>
        <w:rPr/>
        <w:object>
          <v:shapetype id="_x0000_tole_rId32" coordsize="21600,21600" o:spt="ole_rId3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2" type="_x0000_tole_rId32" style="width:76.85pt;height:50.2pt;mso-wrap-distance-right:0pt" filled="f" o:ole="">
            <v:imagedata r:id="rId33" o:title=""/>
          </v:shape>
          <o:OLEObject Type="Embed" ProgID="Word.Document.12" ShapeID="ole_rId32" DrawAspect="Icon" ObjectID="_375483642" r:id="rId32"/>
        </w:object>
      </w:r>
      <w:bookmarkEnd w:id="403"/>
    </w:p>
    <w:p>
      <w:pPr>
        <w:pStyle w:val="Normal"/>
        <w:jc w:val="center"/>
        <w:rPr/>
      </w:pPr>
      <w:r>
        <w:rPr/>
      </w:r>
    </w:p>
    <w:sectPr>
      <w:headerReference w:type="default" r:id="rId34"/>
      <w:headerReference w:type="first" r:id="rId35"/>
      <w:footerReference w:type="default" r:id="rId36"/>
      <w:footerReference w:type="first" r:id="rId3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73663442"/>
    </w:sdtPr>
    <w:sdtContent>
      <w:p>
        <w:pPr>
          <w:pStyle w:val="Footer"/>
          <w:spacing w:before="120" w:after="0"/>
          <w:rPr/>
        </w:pPr>
        <w:r>
          <w:rPr/>
          <w:fldChar w:fldCharType="begin"/>
        </w:r>
        <w:r>
          <w:rPr/>
          <w:instrText xml:space="preserve"> PAGE </w:instrText>
        </w:r>
        <w:r>
          <w:rPr/>
          <w:fldChar w:fldCharType="separate"/>
        </w:r>
        <w:r>
          <w:rPr/>
          <w:t>21</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17755533"/>
    </w:sdtPr>
    <w:sdtContent>
      <w:p>
        <w:pPr>
          <w:pStyle w:val="Footer"/>
          <w:spacing w:before="120" w:after="0"/>
          <w:rPr/>
        </w:pPr>
        <w:r>
          <w:rPr/>
          <w:fldChar w:fldCharType="begin"/>
        </w:r>
        <w:r>
          <w:rPr/>
          <w:instrText xml:space="preserve"> PAGE </w:instrText>
        </w:r>
        <w:r>
          <w:rPr/>
          <w:fldChar w:fldCharType="separate"/>
        </w:r>
        <w:r>
          <w:rPr/>
          <w:t>75</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94199183"/>
    </w:sdtPr>
    <w:sdtContent>
      <w:p>
        <w:pPr>
          <w:pStyle w:val="Footer"/>
          <w:spacing w:before="120" w:after="0"/>
          <w:rPr/>
        </w:pPr>
        <w:r>
          <w:rPr/>
          <w:fldChar w:fldCharType="begin"/>
        </w:r>
        <w:r>
          <w:rPr/>
          <w:instrText xml:space="preserve"> PAGE </w:instrText>
        </w:r>
        <w:r>
          <w:rPr/>
          <w:fldChar w:fldCharType="separate"/>
        </w:r>
        <w:r>
          <w:rPr/>
          <w:t>78</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7385623"/>
    </w:sdtPr>
    <w:sdtContent>
      <w:p>
        <w:pPr>
          <w:pStyle w:val="Footer"/>
          <w:spacing w:before="120" w:after="0"/>
          <w:rPr/>
        </w:pPr>
        <w:r>
          <w:rPr/>
          <w:fldChar w:fldCharType="begin"/>
        </w:r>
        <w:r>
          <w:rPr/>
          <w:instrText xml:space="preserve"> PAGE </w:instrText>
        </w:r>
        <w:r>
          <w:rPr/>
          <w:fldChar w:fldCharType="separate"/>
        </w:r>
        <w:r>
          <w:rPr/>
          <w:t>23</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0671571"/>
    </w:sdtPr>
    <w:sdtContent>
      <w:p>
        <w:pPr>
          <w:pStyle w:val="Footer"/>
          <w:spacing w:before="120" w:after="0"/>
          <w:rPr/>
        </w:pPr>
        <w:r>
          <w:rPr/>
          <w:fldChar w:fldCharType="begin"/>
        </w:r>
        <w:r>
          <w:rPr/>
          <w:instrText xml:space="preserve"> PAGE </w:instrText>
        </w:r>
        <w:r>
          <w:rPr/>
          <w:fldChar w:fldCharType="separate"/>
        </w:r>
        <w:r>
          <w:rPr/>
          <w:t>50</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23495046"/>
    </w:sdtPr>
    <w:sdtContent>
      <w:p>
        <w:pPr>
          <w:pStyle w:val="Footer"/>
          <w:spacing w:before="120" w:after="0"/>
          <w:rPr/>
        </w:pPr>
        <w:r>
          <w:rPr/>
          <w:fldChar w:fldCharType="begin"/>
        </w:r>
        <w:r>
          <w:rPr/>
          <w:instrText xml:space="preserve"> PAGE </w:instrText>
        </w:r>
        <w:r>
          <w:rPr/>
          <w:fldChar w:fldCharType="separate"/>
        </w:r>
        <w:r>
          <w:rPr/>
          <w:t>55</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63040183"/>
    </w:sdtPr>
    <w:sdtContent>
      <w:p>
        <w:pPr>
          <w:pStyle w:val="Footer"/>
          <w:spacing w:before="120" w:after="0"/>
          <w:rPr/>
        </w:pPr>
        <w:r>
          <w:rPr/>
          <w:fldChar w:fldCharType="begin"/>
        </w:r>
        <w:r>
          <w:rPr/>
          <w:instrText xml:space="preserve"> PAGE </w:instrText>
        </w:r>
        <w:r>
          <w:rPr/>
          <w:fldChar w:fldCharType="separate"/>
        </w:r>
        <w:r>
          <w:rPr/>
          <w:t>61</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4"/>
        <w:spacing w:before="80" w:after="0"/>
        <w:ind w:left="567" w:hanging="567"/>
        <w:jc w:val="both"/>
        <w:rPr/>
      </w:pPr>
      <w:r>
        <w:rPr>
          <w:rStyle w:val="Style10"/>
        </w:rPr>
        <w:footnoteRef/>
      </w:r>
      <w:r>
        <w:rPr/>
        <w:tab/>
        <w:t>Определенные в соответствии с Законом 422-ФЗ.</w:t>
      </w:r>
    </w:p>
  </w:footnote>
  <w:footnote w:id="3">
    <w:p>
      <w:pPr>
        <w:pStyle w:val="Style34"/>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34"/>
        <w:spacing w:before="80" w:after="0"/>
        <w:ind w:left="567" w:hanging="567"/>
        <w:jc w:val="both"/>
        <w:rPr/>
      </w:pPr>
      <w:r>
        <w:rPr>
          <w:rStyle w:val="Style10"/>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5">
    <w:p>
      <w:pPr>
        <w:pStyle w:val="Style34"/>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34"/>
        <w:spacing w:before="80" w:after="0"/>
        <w:ind w:left="567" w:hanging="567"/>
        <w:jc w:val="both"/>
        <w:rPr/>
      </w:pPr>
      <w:r>
        <w:rPr>
          <w:rStyle w:val="Style10"/>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7">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8">
    <w:p>
      <w:pPr>
        <w:pStyle w:val="Style34"/>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pPr>
        <w:pStyle w:val="Style34"/>
        <w:spacing w:before="80" w:after="0"/>
        <w:ind w:left="567" w:hanging="567"/>
        <w:jc w:val="both"/>
        <w:rPr/>
      </w:pPr>
      <w:r>
        <w:rPr>
          <w:rStyle w:val="Style10"/>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 и Победителя.</w:t>
      </w:r>
    </w:p>
  </w:footnote>
  <w:footnote w:id="10">
    <w:p>
      <w:pPr>
        <w:pStyle w:val="Style34"/>
        <w:spacing w:before="80" w:after="0"/>
        <w:ind w:left="567" w:hanging="567"/>
        <w:jc w:val="both"/>
        <w:rPr/>
      </w:pPr>
      <w:r>
        <w:rPr>
          <w:rStyle w:val="Style10"/>
        </w:rPr>
        <w:footnoteRef/>
      </w:r>
      <w:r>
        <w:rPr/>
        <w:tab/>
        <w:t>https://minfin.gov.ru/ru/perfomance/tax_relations/policy/bankwarranty/</w:t>
      </w:r>
    </w:p>
  </w:footnote>
  <w:footnote w:id="11">
    <w:p>
      <w:pPr>
        <w:pStyle w:val="Style34"/>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2">
    <w:p>
      <w:pPr>
        <w:pStyle w:val="Style34"/>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3">
    <w:p>
      <w:pPr>
        <w:pStyle w:val="Style34"/>
        <w:spacing w:before="80" w:after="0"/>
        <w:ind w:left="567" w:hanging="567"/>
        <w:jc w:val="both"/>
        <w:rPr/>
      </w:pPr>
      <w:r>
        <w:rPr>
          <w:rStyle w:val="Style10"/>
        </w:rPr>
        <w:footnoteRef/>
      </w:r>
      <w:r>
        <w:rPr/>
        <w:tab/>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6"/>
      <w:numFmt w:val="decimal"/>
      <w:lvlText w:val="%1."/>
      <w:lvlJc w:val="left"/>
      <w:pPr>
        <w:tabs>
          <w:tab w:val="num" w:pos="1134"/>
        </w:tabs>
        <w:ind w:left="1134" w:hanging="1134"/>
      </w:pPr>
      <w:rPr/>
    </w:lvl>
    <w:lvl w:ilvl="1">
      <w:start w:val="1"/>
      <w:pStyle w:val="Style27"/>
      <w:numFmt w:val="decimal"/>
      <w:lvlText w:val="%1.%2"/>
      <w:lvlJc w:val="left"/>
      <w:pPr>
        <w:tabs>
          <w:tab w:val="num" w:pos="1134"/>
        </w:tabs>
        <w:ind w:left="1134" w:hanging="1134"/>
      </w:pPr>
      <w:rPr/>
    </w:lvl>
    <w:lvl w:ilvl="2">
      <w:start w:val="1"/>
      <w:pStyle w:val="Style28"/>
      <w:numFmt w:val="decimal"/>
      <w:lvlText w:val="%1.%2.%3"/>
      <w:lvlJc w:val="left"/>
      <w:pPr>
        <w:tabs>
          <w:tab w:val="num" w:pos="1134"/>
        </w:tabs>
        <w:ind w:left="1134" w:hanging="1134"/>
      </w:pPr>
      <w:rPr/>
    </w:lvl>
    <w:lvl w:ilvl="3">
      <w:start w:val="1"/>
      <w:pStyle w:val="Style29"/>
      <w:numFmt w:val="russianLower"/>
      <w:lvlText w:val="%4)"/>
      <w:lvlJc w:val="left"/>
      <w:pPr>
        <w:tabs>
          <w:tab w:val="num" w:pos="1701"/>
        </w:tabs>
        <w:ind w:left="1701" w:hanging="567"/>
      </w:pPr>
      <w:rPr/>
    </w:lvl>
    <w:lvl w:ilvl="4">
      <w:start w:val="1"/>
      <w:pStyle w:val="Style30"/>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decimal"/>
      <w:lvlText w:val="%1."/>
      <w:lvlJc w:val="left"/>
      <w:pPr>
        <w:tabs>
          <w:tab w:val="num" w:pos="851"/>
        </w:tabs>
        <w:ind w:left="0" w:hanging="0"/>
      </w:pPr>
      <w:rPr/>
    </w:lvl>
    <w:lvl w:ilvl="1">
      <w:start w:val="1"/>
      <w:numFmt w:val="decimal"/>
      <w:lvlText w:val="%1.%2."/>
      <w:lvlJc w:val="left"/>
      <w:pPr>
        <w:tabs>
          <w:tab w:val="num" w:pos="0"/>
        </w:tabs>
        <w:ind w:left="1418" w:hanging="1418"/>
      </w:pPr>
      <w:rPr>
        <w:smallCaps w:val="false"/>
        <w:caps w:val="false"/>
        <w:dstrike w:val="false"/>
        <w:strike w:val="false"/>
        <w:vertAlign w:val="baseline"/>
        <w:position w:val="0"/>
        <w:sz w:val="28"/>
        <w:sz w:val="28"/>
        <w:spacing w:val="0"/>
        <w:i w:val="false"/>
        <w:u w:val="none"/>
        <w:b/>
        <w:kern w:val="0"/>
        <w:effect w:val="none"/>
        <w:szCs w:val="28"/>
        <w:iCs w:val="false"/>
        <w:bCs/>
        <w:em w:val="none"/>
        <w:vanish w:val="false"/>
        <w:rFonts w:ascii="Times New Roman" w:hAnsi="Times New Roman" w:cs="Times New Roman"/>
        <w:color w:val="000000"/>
        <w:lang w:bidi="x-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418" w:hanging="1418"/>
      </w:pPr>
      <w:rPr>
        <w:sz w:val="28"/>
        <w:b w:val="false"/>
        <w:szCs w:val="28"/>
        <w:bCs/>
      </w:rPr>
    </w:lvl>
    <w:lvl w:ilvl="3">
      <w:start w:val="1"/>
      <w:numFmt w:val="decimal"/>
      <w:lvlText w:val="%1.%2.%3.%4."/>
      <w:lvlJc w:val="left"/>
      <w:pPr>
        <w:tabs>
          <w:tab w:val="num" w:pos="1701"/>
        </w:tabs>
        <w:ind w:left="1418" w:hanging="1418"/>
      </w:pPr>
      <w:rPr>
        <w:smallCaps w:val="false"/>
        <w:caps w:val="false"/>
        <w:dstrike w:val="false"/>
        <w:strike w:val="false"/>
        <w:vertAlign w:val="baseline"/>
        <w:position w:val="0"/>
        <w:sz w:val="28"/>
        <w:sz w:val="28"/>
        <w:spacing w:val="0"/>
        <w:i w:val="false"/>
        <w:u w:val="none"/>
        <w:b w:val="false"/>
        <w:kern w:val="0"/>
        <w:effect w:val="none"/>
        <w:szCs w:val="28"/>
        <w:iCs w:val="false"/>
        <w:bCs/>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lvlText w:val="%5)"/>
      <w:lvlJc w:val="left"/>
      <w:pPr>
        <w:tabs>
          <w:tab w:val="num" w:pos="1985"/>
        </w:tabs>
        <w:ind w:left="1985" w:hanging="567"/>
      </w:pPr>
      <w:rPr>
        <w:smallCaps w:val="false"/>
        <w:caps w:val="false"/>
        <w:outline w:val="false"/>
        <w:dstrike w:val="false"/>
        <w:strike w:val="false"/>
        <w:vertAlign w:val="baseline"/>
        <w:position w:val="0"/>
        <w:sz w:val="26"/>
        <w:sz w:val="26"/>
        <w:spacing w:val="0"/>
        <w:i w:val="false"/>
        <w:shadow w:val="false"/>
        <w:u w:val="none"/>
        <w:b w:val="false"/>
        <w:kern w:val="0"/>
        <w:effect w:val="none"/>
        <w:iCs w:val="false"/>
        <w:bCs w:val="false"/>
        <w:em w:val="none"/>
        <w:emboss w:val="false"/>
        <w:imprint w:val="false"/>
        <w:vanish w:val="false"/>
        <w:rFonts w:ascii="Times New Roman" w:hAnsi="Times New Roman" w:cs="Times New Roman"/>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5">
      <w:start w:val="1"/>
      <w:numFmt w:val="bullet"/>
      <w:lvlText w:val=""/>
      <w:lvlJc w:val="left"/>
      <w:pPr>
        <w:tabs>
          <w:tab w:val="num" w:pos="1985"/>
        </w:tabs>
        <w:ind w:left="1985" w:hanging="567"/>
      </w:pPr>
      <w:rPr>
        <w:rFonts w:ascii="Symbol" w:hAnsi="Symbol" w:cs="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2705" w:hanging="360"/>
      </w:pPr>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18">
    <w:lvl w:ilvl="0">
      <w:start w:val="1"/>
      <w:numFmt w:val="bullet"/>
      <w:lvlText w:val=""/>
      <w:lvlJc w:val="left"/>
      <w:pPr>
        <w:tabs>
          <w:tab w:val="num" w:pos="0"/>
        </w:tabs>
        <w:ind w:left="2705" w:hanging="360"/>
      </w:pPr>
      <w:rPr>
        <w:rFonts w:ascii="Symbol" w:hAnsi="Symbol" w:cs="Symbol" w:hint="default"/>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19">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2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60"/>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0"/>
    <w:lsdException w:name="heading 2" w:locked="0" w:uiPriority="0" w:semiHidden="1" w:unhideWhenUsed="1"/>
    <w:lsdException w:name="heading 3" w:locked="0" w:uiPriority="0" w:semiHidden="1" w:unhideWhenUsed="1"/>
    <w:lsdException w:name="heading 4" w:locked="0" w:uiPriority="0"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uiPriority="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qFormat/>
    <w:rsid w:val="00565d50"/>
    <w:pPr>
      <w:keepNext w:val="true"/>
      <w:keepLines/>
      <w:pageBreakBefore/>
      <w:tabs>
        <w:tab w:val="clear" w:pos="708"/>
        <w:tab w:val="left" w:pos="1134" w:leader="none"/>
      </w:tabs>
      <w:suppressAutoHyphens w:val="true"/>
      <w:spacing w:before="480" w:after="240"/>
      <w:ind w:left="1134" w:hanging="1134"/>
      <w:outlineLvl w:val="0"/>
    </w:pPr>
    <w:rPr>
      <w:rFonts w:ascii="Arial" w:hAnsi="Arial" w:eastAsia="Times New Roman" w:cs="Times New Roman"/>
      <w:b/>
      <w:kern w:val="2"/>
      <w:sz w:val="40"/>
      <w:szCs w:val="26"/>
      <w:lang w:eastAsia="ru-RU"/>
    </w:rPr>
  </w:style>
  <w:style w:type="paragraph" w:styleId="Heading2">
    <w:name w:val="Heading 2"/>
    <w:basedOn w:val="Normal"/>
    <w:next w:val="Normal"/>
    <w:link w:val="21"/>
    <w:qFormat/>
    <w:rsid w:val="00565d50"/>
    <w:pPr>
      <w:keepNext w:val="true"/>
      <w:tabs>
        <w:tab w:val="clear" w:pos="708"/>
        <w:tab w:val="left" w:pos="2694" w:leader="none"/>
      </w:tabs>
      <w:suppressAutoHyphens w:val="true"/>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rsid w:val="00a74fa4"/>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Style6" w:customStyle="1">
    <w:name w:val="Верхний колонтитул Знак"/>
    <w:basedOn w:val="DefaultParagraphFont"/>
    <w:uiPriority w:val="99"/>
    <w:qFormat/>
    <w:rsid w:val="00c95e18"/>
    <w:rPr/>
  </w:style>
  <w:style w:type="character" w:styleId="Style7" w:customStyle="1">
    <w:name w:val="Нижний колонтитул Знак"/>
    <w:basedOn w:val="DefaultParagraphFont"/>
    <w:uiPriority w:val="99"/>
    <w:qFormat/>
    <w:rsid w:val="008364e8"/>
    <w:rPr/>
  </w:style>
  <w:style w:type="character" w:styleId="Style8" w:customStyle="1">
    <w:name w:val="[РГ] Инструкция для организатора"/>
    <w:basedOn w:val="DefaultParagraphFont"/>
    <w:uiPriority w:val="1"/>
    <w:qFormat/>
    <w:rsid w:val="00277346"/>
    <w:rPr>
      <w:i/>
      <w:iCs/>
      <w:shd w:fill="FFFF99" w:val="clear"/>
      <w:lang w:val="ru-RU"/>
    </w:rPr>
  </w:style>
  <w:style w:type="character" w:styleId="Style9" w:customStyle="1">
    <w:name w:val="Текст сноски Знак"/>
    <w:basedOn w:val="DefaultParagraphFont"/>
    <w:uiPriority w:val="99"/>
    <w:semiHidden/>
    <w:qFormat/>
    <w:rsid w:val="006608d1"/>
    <w:rPr>
      <w:sz w:val="20"/>
      <w:szCs w:val="20"/>
    </w:rPr>
  </w:style>
  <w:style w:type="character" w:styleId="Style10">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1"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2" w:customStyle="1">
    <w:name w:val="Текст примечания Знак"/>
    <w:basedOn w:val="DefaultParagraphFont"/>
    <w:link w:val="Annotationtext"/>
    <w:uiPriority w:val="99"/>
    <w:qFormat/>
    <w:rsid w:val="007e365e"/>
    <w:rPr>
      <w:sz w:val="20"/>
      <w:szCs w:val="20"/>
    </w:rPr>
  </w:style>
  <w:style w:type="character" w:styleId="Style13" w:customStyle="1">
    <w:name w:val="Тема примечания Знак"/>
    <w:basedOn w:val="Style12"/>
    <w:link w:val="Annotationsubject"/>
    <w:uiPriority w:val="99"/>
    <w:semiHidden/>
    <w:qFormat/>
    <w:rsid w:val="007e365e"/>
    <w:rPr>
      <w:b/>
      <w:bCs/>
      <w:sz w:val="20"/>
      <w:szCs w:val="20"/>
    </w:rPr>
  </w:style>
  <w:style w:type="character" w:styleId="Style14"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2" w:customStyle="1">
    <w:name w:val="Пункт Знак2"/>
    <w:link w:val="Style36"/>
    <w:qFormat/>
    <w:rsid w:val="00493761"/>
    <w:rPr>
      <w:rFonts w:eastAsia="Times New Roman" w:cs="Times New Roman"/>
      <w:szCs w:val="26"/>
      <w:lang w:eastAsia="ru-RU"/>
    </w:rPr>
  </w:style>
  <w:style w:type="character" w:styleId="1" w:customStyle="1">
    <w:name w:val="Заголовок 1 Знак"/>
    <w:basedOn w:val="DefaultParagraphFont"/>
    <w:qFormat/>
    <w:rsid w:val="00565d50"/>
    <w:rPr>
      <w:rFonts w:ascii="Arial" w:hAnsi="Arial" w:eastAsia="Times New Roman" w:cs="Times New Roman"/>
      <w:b/>
      <w:kern w:val="2"/>
      <w:sz w:val="40"/>
      <w:szCs w:val="26"/>
      <w:lang w:eastAsia="ru-RU"/>
    </w:rPr>
  </w:style>
  <w:style w:type="character" w:styleId="21" w:customStyle="1">
    <w:name w:val="Заголовок 2 Знак"/>
    <w:basedOn w:val="DefaultParagraphFont"/>
    <w:qFormat/>
    <w:rsid w:val="00565d50"/>
    <w:rPr>
      <w:rFonts w:eastAsia="Times New Roman" w:cs="Times New Roman"/>
      <w:b/>
      <w:sz w:val="32"/>
      <w:szCs w:val="26"/>
      <w:lang w:eastAsia="ru-RU"/>
    </w:rPr>
  </w:style>
  <w:style w:type="character" w:styleId="3" w:customStyle="1">
    <w:name w:val="Заголовок 3 Знак"/>
    <w:basedOn w:val="DefaultParagraphFont"/>
    <w:semiHidden/>
    <w:qFormat/>
    <w:rsid w:val="00a74fa4"/>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15" w:customStyle="1">
    <w:name w:val="Текст выноски Знак"/>
    <w:basedOn w:val="DefaultParagraphFont"/>
    <w:link w:val="BalloonText"/>
    <w:uiPriority w:val="99"/>
    <w:semiHidden/>
    <w:qFormat/>
    <w:rsid w:val="00ea697c"/>
    <w:rPr>
      <w:rFonts w:ascii="Segoe UI" w:hAnsi="Segoe UI" w:cs="Segoe UI"/>
      <w:sz w:val="18"/>
      <w:szCs w:val="18"/>
    </w:rPr>
  </w:style>
  <w:style w:type="character" w:styleId="Style16" w:customStyle="1">
    <w:name w:val="РГ_ЕПоЗ_а) Знак"/>
    <w:basedOn w:val="DefaultParagraphFont"/>
    <w:link w:val="Style39"/>
    <w:qFormat/>
    <w:rsid w:val="005537c2"/>
    <w:rPr>
      <w:rFonts w:eastAsia="Calibri" w:cs="Times New Roman"/>
      <w:sz w:val="28"/>
      <w:szCs w:val="28"/>
    </w:rPr>
  </w:style>
  <w:style w:type="character" w:styleId="-" w:customStyle="1">
    <w:name w:val="РГ_ЕПоЗ_- Знак"/>
    <w:basedOn w:val="DefaultParagraphFont"/>
    <w:link w:val="-1"/>
    <w:qFormat/>
    <w:rsid w:val="005537c2"/>
    <w:rPr>
      <w:rFonts w:eastAsia="Times New Roman" w:cs="Times New Roman"/>
      <w:sz w:val="28"/>
      <w:szCs w:val="20"/>
      <w:lang w:eastAsia="ru-RU"/>
    </w:rPr>
  </w:style>
  <w:style w:type="character" w:styleId="Style17">
    <w:name w:val="Ссылка указателя"/>
    <w:qFormat/>
    <w:rPr/>
  </w:style>
  <w:style w:type="character" w:styleId="Style18">
    <w:name w:val="Символ концевой сноски"/>
    <w:qFormat/>
    <w:rPr>
      <w:vertAlign w:val="superscript"/>
    </w:rPr>
  </w:style>
  <w:style w:type="character" w:styleId="EndnoteReference">
    <w:name w:val="Endnote Reference"/>
    <w:rPr>
      <w:vertAlign w:val="superscript"/>
    </w:rPr>
  </w:style>
  <w:style w:type="character" w:styleId="Style19">
    <w:name w:val="Текст концевой сноски Знак"/>
    <w:qFormat/>
    <w:rPr>
      <w:sz w:val="20"/>
    </w:rPr>
  </w:style>
  <w:style w:type="character" w:styleId="FootnoteTextChar">
    <w:name w:val="Footnote Text Char"/>
    <w:qFormat/>
    <w:rPr>
      <w:sz w:val="18"/>
    </w:rPr>
  </w:style>
  <w:style w:type="character" w:styleId="Style20">
    <w:name w:val="Название объекта Знак"/>
    <w:qFormat/>
    <w:rPr>
      <w:rFonts w:ascii="Times New Roman" w:hAnsi="Times New Roman" w:eastAsia="Times New Roman" w:cs="Times New Roman"/>
      <w:b/>
      <w:bCs/>
      <w:color w:val="4472C4"/>
      <w:sz w:val="18"/>
      <w:szCs w:val="18"/>
    </w:rPr>
  </w:style>
  <w:style w:type="character" w:styleId="FooterChar">
    <w:name w:val="Footer Char"/>
    <w:qFormat/>
    <w:rPr>
      <w:rFonts w:ascii="Times New Roman" w:hAnsi="Times New Roman" w:eastAsia="Times New Roman" w:cs="Times New Roman"/>
      <w:color w:val="000000"/>
      <w:sz w:val="24"/>
      <w:szCs w:val="24"/>
    </w:rPr>
  </w:style>
  <w:style w:type="character" w:styleId="HeaderChar">
    <w:name w:val="Header Char"/>
    <w:qFormat/>
    <w:rPr>
      <w:rFonts w:ascii="Times New Roman" w:hAnsi="Times New Roman" w:eastAsia="Times New Roman" w:cs="Times New Roman"/>
      <w:color w:val="000000"/>
      <w:sz w:val="24"/>
      <w:szCs w:val="24"/>
    </w:rPr>
  </w:style>
  <w:style w:type="character" w:styleId="Style21">
    <w:name w:val="Выделенная цитата Знак"/>
    <w:qFormat/>
    <w:rPr>
      <w:i/>
    </w:rPr>
  </w:style>
  <w:style w:type="character" w:styleId="22">
    <w:name w:val="Цитата 2 Знак"/>
    <w:qFormat/>
    <w:rPr>
      <w:i/>
    </w:rPr>
  </w:style>
  <w:style w:type="character" w:styleId="Style22">
    <w:name w:val="Подзаголовок Знак"/>
    <w:qFormat/>
    <w:rPr>
      <w:rFonts w:ascii="Times New Roman" w:hAnsi="Times New Roman" w:eastAsia="Times New Roman" w:cs="Times New Roman"/>
      <w:color w:val="000000"/>
      <w:sz w:val="24"/>
      <w:szCs w:val="24"/>
    </w:rPr>
  </w:style>
  <w:style w:type="character" w:styleId="Style23">
    <w:name w:val="Заголовок Знак"/>
    <w:qFormat/>
    <w:rPr>
      <w:rFonts w:ascii="Times New Roman" w:hAnsi="Times New Roman" w:eastAsia="Times New Roman" w:cs="Times New Roman"/>
      <w:color w:val="000000"/>
      <w:sz w:val="48"/>
      <w:szCs w:val="48"/>
    </w:rPr>
  </w:style>
  <w:style w:type="character" w:styleId="9">
    <w:name w:val="Заголовок 9 Знак"/>
    <w:qFormat/>
    <w:rPr>
      <w:rFonts w:ascii="Arial" w:hAnsi="Arial" w:eastAsia="Arial"/>
      <w:i/>
      <w:iCs/>
      <w:color w:val="000000"/>
      <w:sz w:val="21"/>
      <w:szCs w:val="21"/>
    </w:rPr>
  </w:style>
  <w:style w:type="character" w:styleId="8">
    <w:name w:val="Заголовок 8 Знак"/>
    <w:qFormat/>
    <w:rPr>
      <w:rFonts w:ascii="Arial" w:hAnsi="Arial" w:eastAsia="Arial"/>
      <w:i/>
      <w:iCs/>
      <w:color w:val="000000"/>
      <w:sz w:val="22"/>
    </w:rPr>
  </w:style>
  <w:style w:type="character" w:styleId="7">
    <w:name w:val="Заголовок 7 Знак"/>
    <w:qFormat/>
    <w:rPr>
      <w:rFonts w:ascii="Arial" w:hAnsi="Arial" w:eastAsia="Arial"/>
      <w:b/>
      <w:bCs/>
      <w:i/>
      <w:iCs/>
      <w:color w:val="000000"/>
      <w:sz w:val="22"/>
    </w:rPr>
  </w:style>
  <w:style w:type="character" w:styleId="6">
    <w:name w:val="Заголовок 6 Знак"/>
    <w:qFormat/>
    <w:rPr>
      <w:rFonts w:ascii="Arial" w:hAnsi="Arial" w:eastAsia="Arial"/>
      <w:b/>
      <w:bCs/>
      <w:color w:val="000000"/>
      <w:sz w:val="22"/>
    </w:rPr>
  </w:style>
  <w:style w:type="character" w:styleId="5">
    <w:name w:val="Заголовок 5 Знак"/>
    <w:qFormat/>
    <w:rPr>
      <w:rFonts w:ascii="Arial" w:hAnsi="Arial" w:eastAsia="Arial"/>
      <w:b/>
      <w:bCs/>
      <w:color w:val="000000"/>
      <w:sz w:val="24"/>
      <w:szCs w:val="24"/>
    </w:rPr>
  </w:style>
  <w:style w:type="character" w:styleId="4">
    <w:name w:val="Заголовок 4 Знак"/>
    <w:qFormat/>
    <w:rPr>
      <w:rFonts w:ascii="Arial" w:hAnsi="Arial" w:eastAsia="Arial"/>
      <w:b/>
      <w:bCs/>
      <w:color w:val="000000"/>
      <w:szCs w:val="26"/>
    </w:rPr>
  </w:style>
  <w:style w:type="character" w:styleId="Heading3Char">
    <w:name w:val="Heading 3 Char"/>
    <w:qFormat/>
    <w:rPr>
      <w:rFonts w:ascii="Arial" w:hAnsi="Arial" w:eastAsia="Arial"/>
      <w:color w:val="000000"/>
      <w:sz w:val="30"/>
      <w:szCs w:val="30"/>
    </w:rPr>
  </w:style>
  <w:style w:type="character" w:styleId="Heading2Char">
    <w:name w:val="Heading 2 Char"/>
    <w:qFormat/>
    <w:rPr>
      <w:rFonts w:ascii="Arial" w:hAnsi="Arial" w:eastAsia="Arial"/>
      <w:color w:val="000000"/>
      <w:sz w:val="34"/>
      <w:szCs w:val="24"/>
    </w:rPr>
  </w:style>
  <w:style w:type="character" w:styleId="Heading1Char">
    <w:name w:val="Heading 1 Char"/>
    <w:qFormat/>
    <w:rPr>
      <w:rFonts w:ascii="Arial" w:hAnsi="Arial" w:eastAsia="Arial"/>
      <w:color w:val="000000"/>
      <w:sz w:val="40"/>
      <w:szCs w:val="40"/>
    </w:rPr>
  </w:style>
  <w:style w:type="character" w:styleId="EndnoteTextChar">
    <w:name w:val="Endnote Text Char"/>
    <w:qFormat/>
    <w:rPr>
      <w:sz w:val="20"/>
    </w:rPr>
  </w:style>
  <w:style w:type="character" w:styleId="CaptionChar">
    <w:name w:val="Caption Char"/>
    <w:basedOn w:val="DefaultParagraphFont"/>
    <w:qFormat/>
    <w:rPr>
      <w:rFonts w:ascii="Times New Roman" w:hAnsi="Times New Roman" w:eastAsia="Times New Roman" w:cs="Times New Roman"/>
      <w:b/>
      <w:bCs/>
      <w:color w:val="4F81BD"/>
      <w:sz w:val="18"/>
      <w:szCs w:val="18"/>
    </w:rPr>
  </w:style>
  <w:style w:type="character" w:styleId="IntenseQuoteChar">
    <w:name w:val="Intense Quote Char"/>
    <w:qFormat/>
    <w:rPr>
      <w:i/>
    </w:rPr>
  </w:style>
  <w:style w:type="character" w:styleId="QuoteChar">
    <w:name w:val="Quote Char"/>
    <w:qFormat/>
    <w:rPr>
      <w:i/>
    </w:rPr>
  </w:style>
  <w:style w:type="character" w:styleId="SubtitleChar">
    <w:name w:val="Subtitle Char"/>
    <w:basedOn w:val="DefaultParagraphFont"/>
    <w:qFormat/>
    <w:rPr>
      <w:rFonts w:ascii="Times New Roman" w:hAnsi="Times New Roman" w:eastAsia="Times New Roman" w:cs="Times New Roman"/>
      <w:color w:val="000000"/>
      <w:sz w:val="24"/>
      <w:szCs w:val="24"/>
    </w:rPr>
  </w:style>
  <w:style w:type="character" w:styleId="TitleChar">
    <w:name w:val="Title Char"/>
    <w:basedOn w:val="DefaultParagraphFont"/>
    <w:qFormat/>
    <w:rPr>
      <w:rFonts w:ascii="Times New Roman" w:hAnsi="Times New Roman" w:eastAsia="Times New Roman" w:cs="Times New Roman"/>
      <w:color w:val="000000"/>
      <w:sz w:val="48"/>
      <w:szCs w:val="48"/>
    </w:rPr>
  </w:style>
  <w:style w:type="character" w:styleId="Heading9Char">
    <w:name w:val="Heading 9 Char"/>
    <w:basedOn w:val="DefaultParagraphFont"/>
    <w:qFormat/>
    <w:rPr>
      <w:rFonts w:ascii="Arial" w:hAnsi="Arial" w:eastAsia="Arial"/>
      <w:i/>
      <w:iCs/>
      <w:color w:val="000000"/>
      <w:sz w:val="21"/>
      <w:szCs w:val="21"/>
    </w:rPr>
  </w:style>
  <w:style w:type="character" w:styleId="Heading8Char">
    <w:name w:val="Heading 8 Char"/>
    <w:basedOn w:val="DefaultParagraphFont"/>
    <w:qFormat/>
    <w:rPr>
      <w:rFonts w:ascii="Arial" w:hAnsi="Arial" w:eastAsia="Arial"/>
      <w:i/>
      <w:iCs/>
      <w:color w:val="000000"/>
      <w:sz w:val="22"/>
    </w:rPr>
  </w:style>
  <w:style w:type="character" w:styleId="Heading7Char">
    <w:name w:val="Heading 7 Char"/>
    <w:basedOn w:val="DefaultParagraphFont"/>
    <w:qFormat/>
    <w:rPr>
      <w:rFonts w:ascii="Arial" w:hAnsi="Arial" w:eastAsia="Arial"/>
      <w:b/>
      <w:bCs/>
      <w:i/>
      <w:iCs/>
      <w:color w:val="000000"/>
      <w:sz w:val="22"/>
    </w:rPr>
  </w:style>
  <w:style w:type="character" w:styleId="Heading6Char">
    <w:name w:val="Heading 6 Char"/>
    <w:basedOn w:val="DefaultParagraphFont"/>
    <w:qFormat/>
    <w:rPr>
      <w:rFonts w:ascii="Arial" w:hAnsi="Arial" w:eastAsia="Arial"/>
      <w:b/>
      <w:bCs/>
      <w:color w:val="000000"/>
      <w:sz w:val="22"/>
    </w:rPr>
  </w:style>
  <w:style w:type="character" w:styleId="Heading5Char">
    <w:name w:val="Heading 5 Char"/>
    <w:basedOn w:val="DefaultParagraphFont"/>
    <w:qFormat/>
    <w:rPr>
      <w:rFonts w:ascii="Arial" w:hAnsi="Arial" w:eastAsia="Arial"/>
      <w:b/>
      <w:bCs/>
      <w:color w:val="000000"/>
      <w:sz w:val="24"/>
      <w:szCs w:val="24"/>
    </w:rPr>
  </w:style>
  <w:style w:type="character" w:styleId="Heading4Char">
    <w:name w:val="Heading 4 Char"/>
    <w:basedOn w:val="DefaultParagraphFont"/>
    <w:qFormat/>
    <w:rPr>
      <w:rFonts w:ascii="Arial" w:hAnsi="Arial" w:eastAsia="Arial"/>
      <w:b/>
      <w:bCs/>
      <w:color w:val="000000"/>
      <w:szCs w:val="26"/>
    </w:rPr>
  </w:style>
  <w:style w:type="paragraph" w:styleId="Style24">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5">
    <w:name w:val="Указатель"/>
    <w:basedOn w:val="Normal"/>
    <w:qFormat/>
    <w:pPr>
      <w:suppressLineNumbers/>
    </w:pPr>
    <w:rPr>
      <w:rFonts w:cs="Arial Unicode MS"/>
    </w:rPr>
  </w:style>
  <w:style w:type="paragraph" w:styleId="Style26" w:customStyle="1">
    <w:name w:val="[РГ] Раздел"/>
    <w:basedOn w:val="Normal"/>
    <w:next w:val="Style27"/>
    <w:qFormat/>
    <w:rsid w:val="00c95e18"/>
    <w:pPr>
      <w:keepNext w:val="true"/>
      <w:pageBreakBefore/>
      <w:numPr>
        <w:ilvl w:val="0"/>
        <w:numId w:val="1"/>
      </w:numPr>
      <w:spacing w:before="0" w:after="360"/>
      <w:jc w:val="both"/>
      <w:outlineLvl w:val="0"/>
    </w:pPr>
    <w:rPr>
      <w:b/>
      <w:bCs/>
      <w:caps/>
    </w:rPr>
  </w:style>
  <w:style w:type="paragraph" w:styleId="Style27" w:customStyle="1">
    <w:name w:val="[РГ] Подраздел"/>
    <w:basedOn w:val="Normal"/>
    <w:next w:val="Style28"/>
    <w:qFormat/>
    <w:rsid w:val="00891546"/>
    <w:pPr>
      <w:keepNext w:val="true"/>
      <w:numPr>
        <w:ilvl w:val="1"/>
        <w:numId w:val="1"/>
      </w:numPr>
      <w:spacing w:before="360" w:after="0"/>
      <w:jc w:val="both"/>
      <w:outlineLvl w:val="1"/>
    </w:pPr>
    <w:rPr>
      <w:b/>
      <w:bCs/>
    </w:rPr>
  </w:style>
  <w:style w:type="paragraph" w:styleId="Style28" w:customStyle="1">
    <w:name w:val="[РГ] Пункт"/>
    <w:basedOn w:val="Normal"/>
    <w:qFormat/>
    <w:rsid w:val="00891546"/>
    <w:pPr>
      <w:numPr>
        <w:ilvl w:val="2"/>
        <w:numId w:val="1"/>
      </w:numPr>
      <w:jc w:val="both"/>
      <w:outlineLvl w:val="2"/>
    </w:pPr>
    <w:rPr/>
  </w:style>
  <w:style w:type="paragraph" w:styleId="Style29" w:customStyle="1">
    <w:name w:val="[РГ] Подпункт"/>
    <w:basedOn w:val="Normal"/>
    <w:qFormat/>
    <w:rsid w:val="00891546"/>
    <w:pPr>
      <w:numPr>
        <w:ilvl w:val="3"/>
        <w:numId w:val="1"/>
      </w:numPr>
      <w:jc w:val="both"/>
      <w:outlineLvl w:val="3"/>
    </w:pPr>
    <w:rPr/>
  </w:style>
  <w:style w:type="paragraph" w:styleId="Style30" w:customStyle="1">
    <w:name w:val="[РГ] Перечисление"/>
    <w:basedOn w:val="Normal"/>
    <w:qFormat/>
    <w:rsid w:val="00891546"/>
    <w:pPr>
      <w:numPr>
        <w:ilvl w:val="4"/>
        <w:numId w:val="1"/>
      </w:numPr>
      <w:jc w:val="both"/>
      <w:outlineLvl w:val="4"/>
    </w:pPr>
    <w:rPr/>
  </w:style>
  <w:style w:type="paragraph" w:styleId="Style31" w:customStyle="1">
    <w:name w:val="[РГ] Заголовок"/>
    <w:basedOn w:val="Normal"/>
    <w:next w:val="Style32"/>
    <w:qFormat/>
    <w:rsid w:val="00f87384"/>
    <w:pPr>
      <w:keepNext w:val="true"/>
      <w:pageBreakBefore/>
      <w:spacing w:before="0" w:after="360"/>
      <w:jc w:val="both"/>
    </w:pPr>
    <w:rPr>
      <w:b/>
      <w:bCs/>
      <w:caps/>
    </w:rPr>
  </w:style>
  <w:style w:type="paragraph" w:styleId="Style32" w:customStyle="1">
    <w:name w:val="[РГ] Текст"/>
    <w:basedOn w:val="Normal"/>
    <w:qFormat/>
    <w:rsid w:val="00891546"/>
    <w:pPr>
      <w:jc w:val="both"/>
    </w:pPr>
    <w:rPr/>
  </w:style>
  <w:style w:type="paragraph" w:styleId="Style33">
    <w:name w:val="Колонтитул"/>
    <w:basedOn w:val="Normal"/>
    <w:qFormat/>
    <w:pPr/>
    <w:rPr/>
  </w:style>
  <w:style w:type="paragraph" w:styleId="Header">
    <w:name w:val="Header"/>
    <w:basedOn w:val="Normal"/>
    <w:link w:val="Style6"/>
    <w:uiPriority w:val="99"/>
    <w:unhideWhenUsed/>
    <w:rsid w:val="00c95e18"/>
    <w:pPr>
      <w:spacing w:before="0" w:after="120"/>
      <w:jc w:val="center"/>
    </w:pPr>
    <w:rPr/>
  </w:style>
  <w:style w:type="paragraph" w:styleId="Footer">
    <w:name w:val="Footer"/>
    <w:basedOn w:val="Normal"/>
    <w:link w:val="Style7"/>
    <w:unhideWhenUsed/>
    <w:rsid w:val="008364e8"/>
    <w:pPr>
      <w:jc w:val="right"/>
    </w:pPr>
    <w:rPr/>
  </w:style>
  <w:style w:type="paragraph" w:styleId="FootnoteText">
    <w:name w:val="Footnote Text"/>
    <w:basedOn w:val="Normal"/>
    <w:link w:val="Style9"/>
    <w:uiPriority w:val="99"/>
    <w:semiHidden/>
    <w:unhideWhenUsed/>
    <w:rsid w:val="006608d1"/>
    <w:pPr>
      <w:spacing w:before="0" w:after="0"/>
    </w:pPr>
    <w:rPr>
      <w:sz w:val="20"/>
      <w:szCs w:val="20"/>
    </w:rPr>
  </w:style>
  <w:style w:type="paragraph" w:styleId="Style34"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2"/>
    <w:uiPriority w:val="99"/>
    <w:unhideWhenUsed/>
    <w:qFormat/>
    <w:rsid w:val="007e365e"/>
    <w:pPr/>
    <w:rPr>
      <w:sz w:val="20"/>
      <w:szCs w:val="20"/>
    </w:rPr>
  </w:style>
  <w:style w:type="paragraph" w:styleId="Annotationsubject">
    <w:name w:val="annotation subject"/>
    <w:basedOn w:val="Annotationtext"/>
    <w:next w:val="Annotationtext"/>
    <w:link w:val="Style13"/>
    <w:uiPriority w:val="99"/>
    <w:semiHidden/>
    <w:unhideWhenUsed/>
    <w:qFormat/>
    <w:rsid w:val="007e365e"/>
    <w:pPr/>
    <w:rPr>
      <w:b/>
      <w:bCs/>
    </w:rPr>
  </w:style>
  <w:style w:type="paragraph" w:styleId="Style35" w:customStyle="1">
    <w:name w:val="[РГ] Альтернатива / Дополнение"/>
    <w:basedOn w:val="Style32"/>
    <w:next w:val="Style32"/>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Style36" w:customStyle="1">
    <w:name w:val="Пункт"/>
    <w:basedOn w:val="Normal"/>
    <w:link w:val="2"/>
    <w:qFormat/>
    <w:rsid w:val="00493761"/>
    <w:pPr>
      <w:numPr>
        <w:ilvl w:val="2"/>
        <w:numId w:val="9"/>
      </w:numPr>
      <w:jc w:val="both"/>
    </w:pPr>
    <w:rPr>
      <w:rFonts w:eastAsia="Times New Roman" w:cs="Times New Roman"/>
      <w:szCs w:val="26"/>
      <w:lang w:eastAsia="ru-RU"/>
    </w:rPr>
  </w:style>
  <w:style w:type="paragraph" w:styleId="Style37" w:customStyle="1">
    <w:name w:val="Подпункт"/>
    <w:basedOn w:val="Style36"/>
    <w:qFormat/>
    <w:rsid w:val="00493761"/>
    <w:pPr>
      <w:numPr>
        <w:ilvl w:val="3"/>
      </w:numPr>
      <w:tabs>
        <w:tab w:val="clear" w:pos="708"/>
      </w:tabs>
      <w:ind w:left="2880" w:hanging="360"/>
    </w:pPr>
    <w:rPr/>
  </w:style>
  <w:style w:type="paragraph" w:styleId="Style38" w:customStyle="1">
    <w:name w:val="Подподпункт"/>
    <w:basedOn w:val="Style37"/>
    <w:qFormat/>
    <w:rsid w:val="00493761"/>
    <w:pPr>
      <w:numPr>
        <w:ilvl w:val="4"/>
      </w:numPr>
      <w:ind w:left="3600" w:hanging="360"/>
    </w:pPr>
    <w:rPr/>
  </w:style>
  <w:style w:type="paragraph" w:styleId="BalloonText">
    <w:name w:val="Balloon Text"/>
    <w:basedOn w:val="Normal"/>
    <w:link w:val="Style15"/>
    <w:uiPriority w:val="99"/>
    <w:semiHidden/>
    <w:unhideWhenUsed/>
    <w:qFormat/>
    <w:rsid w:val="00ea697c"/>
    <w:pPr>
      <w:spacing w:before="0" w:after="0"/>
    </w:pPr>
    <w:rPr>
      <w:rFonts w:ascii="Segoe UI" w:hAnsi="Segoe UI" w:cs="Segoe UI"/>
      <w:sz w:val="18"/>
      <w:szCs w:val="18"/>
    </w:rPr>
  </w:style>
  <w:style w:type="paragraph" w:styleId="11" w:customStyle="1">
    <w:name w:val="РГ_ЕПоЗ_1."/>
    <w:basedOn w:val="Normal"/>
    <w:qFormat/>
    <w:rsid w:val="005537c2"/>
    <w:pPr>
      <w:keepNext w:val="true"/>
      <w:numPr>
        <w:ilvl w:val="0"/>
        <w:numId w:val="16"/>
      </w:numPr>
      <w:tabs>
        <w:tab w:val="clear" w:pos="708"/>
        <w:tab w:val="left" w:pos="1418" w:leader="none"/>
      </w:tabs>
      <w:spacing w:before="480" w:after="0"/>
      <w:jc w:val="both"/>
      <w:outlineLvl w:val="0"/>
    </w:pPr>
    <w:rPr>
      <w:rFonts w:eastAsia="Times New Roman" w:cs="Times New Roman"/>
      <w:b/>
      <w:sz w:val="28"/>
      <w:szCs w:val="28"/>
      <w:lang w:eastAsia="ru-RU"/>
    </w:rPr>
  </w:style>
  <w:style w:type="paragraph" w:styleId="111" w:customStyle="1">
    <w:name w:val="РГ_ЕПоЗ_1.1"/>
    <w:basedOn w:val="Normal"/>
    <w:qFormat/>
    <w:rsid w:val="005537c2"/>
    <w:pPr>
      <w:keepNext w:val="true"/>
      <w:numPr>
        <w:ilvl w:val="1"/>
        <w:numId w:val="16"/>
      </w:numPr>
      <w:tabs>
        <w:tab w:val="clear" w:pos="708"/>
        <w:tab w:val="left" w:pos="1418" w:leader="none"/>
      </w:tabs>
      <w:spacing w:before="360" w:after="0"/>
      <w:ind w:left="1134" w:hanging="567"/>
      <w:jc w:val="both"/>
      <w:outlineLvl w:val="1"/>
    </w:pPr>
    <w:rPr>
      <w:rFonts w:eastAsia="Times New Roman" w:cs="Times New Roman"/>
      <w:b/>
      <w:sz w:val="28"/>
      <w:szCs w:val="28"/>
      <w:lang w:eastAsia="ru-RU"/>
    </w:rPr>
  </w:style>
  <w:style w:type="paragraph" w:styleId="Style39" w:customStyle="1">
    <w:name w:val="РГ_ЕПоЗ_а)"/>
    <w:basedOn w:val="ListParagraph"/>
    <w:link w:val="Style16"/>
    <w:qFormat/>
    <w:rsid w:val="005537c2"/>
    <w:pPr>
      <w:numPr>
        <w:ilvl w:val="4"/>
        <w:numId w:val="16"/>
      </w:numPr>
      <w:spacing w:before="120" w:after="0"/>
      <w:contextualSpacing w:val="false"/>
      <w:jc w:val="both"/>
    </w:pPr>
    <w:rPr>
      <w:rFonts w:eastAsia="Calibri" w:cs="Times New Roman"/>
      <w:sz w:val="28"/>
      <w:szCs w:val="28"/>
    </w:rPr>
  </w:style>
  <w:style w:type="paragraph" w:styleId="1111" w:customStyle="1">
    <w:name w:val="РГ_ЕПоЗ_1.1.1.1"/>
    <w:basedOn w:val="Normal"/>
    <w:qFormat/>
    <w:rsid w:val="005537c2"/>
    <w:pPr>
      <w:numPr>
        <w:ilvl w:val="3"/>
        <w:numId w:val="16"/>
      </w:numPr>
      <w:tabs>
        <w:tab w:val="clear" w:pos="708"/>
        <w:tab w:val="left" w:pos="1843" w:leader="none"/>
      </w:tabs>
      <w:jc w:val="both"/>
    </w:pPr>
    <w:rPr>
      <w:rFonts w:eastAsia="Times New Roman" w:cs="Times New Roman"/>
      <w:sz w:val="28"/>
      <w:szCs w:val="28"/>
      <w:lang w:eastAsia="ru-RU"/>
    </w:rPr>
  </w:style>
  <w:style w:type="paragraph" w:styleId="-1" w:customStyle="1">
    <w:name w:val="РГ_ЕПоЗ_-"/>
    <w:basedOn w:val="Normal"/>
    <w:link w:val="-"/>
    <w:qFormat/>
    <w:rsid w:val="005537c2"/>
    <w:pPr>
      <w:numPr>
        <w:ilvl w:val="5"/>
        <w:numId w:val="16"/>
      </w:numPr>
      <w:tabs>
        <w:tab w:val="clear" w:pos="708"/>
        <w:tab w:val="left" w:pos="2552" w:leader="none"/>
      </w:tabs>
      <w:spacing w:before="0" w:after="0"/>
      <w:jc w:val="both"/>
    </w:pPr>
    <w:rPr>
      <w:rFonts w:eastAsia="Times New Roman" w:cs="Times New Roman"/>
      <w:sz w:val="28"/>
      <w:szCs w:val="20"/>
      <w:lang w:eastAsia="ru-RU"/>
    </w:rPr>
  </w:style>
  <w:style w:type="paragraph" w:styleId="1112" w:customStyle="1">
    <w:name w:val="РГ_ЕПоЗ_1.1.1"/>
    <w:basedOn w:val="Normal"/>
    <w:qFormat/>
    <w:rsid w:val="005537c2"/>
    <w:pPr>
      <w:numPr>
        <w:ilvl w:val="2"/>
        <w:numId w:val="16"/>
      </w:numPr>
      <w:tabs>
        <w:tab w:val="clear" w:pos="708"/>
        <w:tab w:val="left" w:pos="1134" w:leader="none"/>
      </w:tabs>
      <w:jc w:val="both"/>
    </w:pPr>
    <w:rPr>
      <w:rFonts w:eastAsia="Times New Roman" w:cs="Times New Roman"/>
      <w:sz w:val="28"/>
      <w:szCs w:val="28"/>
      <w:lang w:eastAsia="ru-RU"/>
    </w:rPr>
  </w:style>
  <w:style w:type="paragraph" w:styleId="Tableheader">
    <w:name w:val="Table_header"/>
    <w:qFormat/>
    <w:pPr>
      <w:widowControl/>
      <w:suppressAutoHyphens w:val="true"/>
      <w:bidi w:val="0"/>
      <w:spacing w:before="120" w:after="0"/>
      <w:jc w:val="both"/>
    </w:pPr>
    <w:rPr>
      <w:rFonts w:ascii="Times New Roman" w:hAnsi="Times New Roman" w:eastAsia="Times New Roman" w:cs="Times New Roman"/>
      <w:b/>
      <w:color w:val="auto"/>
      <w:kern w:val="0"/>
      <w:sz w:val="20"/>
      <w:szCs w:val="24"/>
      <w:lang w:val="ru-RU" w:eastAsia="ru-RU" w:bidi="ar-SA"/>
    </w:rPr>
  </w:style>
  <w:style w:type="paragraph" w:styleId="23">
    <w:name w:val="УРОВЕНЬ_Абзац_тип2"/>
    <w:qFormat/>
    <w:pPr>
      <w:widowControl/>
      <w:tabs>
        <w:tab w:val="clear" w:pos="708"/>
        <w:tab w:val="left" w:pos="360" w:leader="none"/>
      </w:tabs>
      <w:suppressAutoHyphens w:val="true"/>
      <w:bidi w:val="0"/>
      <w:spacing w:lineRule="exact" w:line="360" w:before="120" w:after="0"/>
      <w:ind w:left="720" w:firstLine="567"/>
      <w:jc w:val="both"/>
    </w:pPr>
    <w:rPr>
      <w:rFonts w:ascii="Times New Roman" w:hAnsi="Times New Roman" w:eastAsia="Calibri" w:cs="Times New Roman"/>
      <w:color w:val="auto"/>
      <w:kern w:val="0"/>
      <w:sz w:val="26"/>
      <w:szCs w:val="28"/>
      <w:lang w:val="ru-RU" w:eastAsia="en-US" w:bidi="ar-SA"/>
    </w:rPr>
  </w:style>
  <w:style w:type="paragraph" w:styleId="31">
    <w:name w:val="УРОВЕНЬ_Абзац_тип3"/>
    <w:qFormat/>
    <w:pPr>
      <w:widowControl/>
      <w:suppressAutoHyphens w:val="true"/>
      <w:bidi w:val="0"/>
      <w:spacing w:lineRule="exact" w:line="360" w:before="120" w:after="0"/>
      <w:jc w:val="both"/>
    </w:pPr>
    <w:rPr>
      <w:rFonts w:ascii="Times New Roman" w:hAnsi="Times New Roman" w:eastAsia="Calibri" w:cs="Times New Roman"/>
      <w:color w:val="auto"/>
      <w:kern w:val="0"/>
      <w:sz w:val="26"/>
      <w:szCs w:val="28"/>
      <w:lang w:val="ru-RU" w:eastAsia="en-US" w:bidi="ar-SA"/>
    </w:rPr>
  </w:style>
  <w:style w:type="paragraph" w:styleId="Tableoffigures">
    <w:name w:val="table of figures"/>
    <w:basedOn w:val="Normal"/>
    <w:next w:val="Normal"/>
    <w:qFormat/>
    <w:pPr/>
    <w:rPr/>
  </w:style>
  <w:style w:type="paragraph" w:styleId="IntenseQuote">
    <w:name w:val="Intense Quote"/>
    <w:basedOn w:val="Normal"/>
    <w:next w:val="Normal"/>
    <w:qFormat/>
    <w:pPr>
      <w:pBdr>
        <w:top w:val="single" w:sz="4" w:space="5" w:color="FFFFFF"/>
        <w:left w:val="single" w:sz="4" w:space="10" w:color="FFFFFF"/>
        <w:bottom w:val="single" w:sz="4" w:space="5" w:color="FFFFFF"/>
        <w:right w:val="single" w:sz="4" w:space="10" w:color="FFFFFF"/>
      </w:pBdr>
      <w:shd w:fill="F2F2F2"/>
      <w:ind w:left="720" w:right="720" w:hanging="0"/>
    </w:pPr>
    <w:rPr>
      <w:i/>
    </w:rPr>
  </w:style>
  <w:style w:type="paragraph" w:styleId="Quote">
    <w:name w:val="Quote"/>
    <w:basedOn w:val="Normal"/>
    <w:next w:val="Normal"/>
    <w:qFormat/>
    <w:pPr>
      <w:ind w:left="720" w:right="720" w:hanging="0"/>
    </w:pPr>
    <w:rPr>
      <w:i/>
    </w:rPr>
  </w:style>
  <w:style w:type="paragraph" w:styleId="NoSpacing">
    <w:name w:val="No Spacing"/>
    <w:qFormat/>
    <w:pPr>
      <w:widowControl/>
      <w:suppressAutoHyphens w:val="true"/>
      <w:bidi w:val="0"/>
      <w:spacing w:before="0" w:after="0"/>
      <w:jc w:val="left"/>
    </w:pPr>
    <w:rPr>
      <w:rFonts w:ascii="Times New Roman" w:hAnsi="Times New Roman" w:eastAsia="Calibri" w:cs="Arial"/>
      <w:color w:val="auto"/>
      <w:kern w:val="0"/>
      <w:sz w:val="26"/>
      <w:szCs w:val="22"/>
      <w:lang w:val="ru-RU" w:eastAsia="en-US" w:bidi="ar-SA"/>
    </w:rPr>
  </w:style>
  <w:style w:type="paragraph" w:styleId="Indexheading1">
    <w:name w:val="index heading1"/>
    <w:qFormat/>
    <w:pPr>
      <w:widowControl/>
      <w:suppressAutoHyphens w:val="true"/>
      <w:bidi w:val="0"/>
      <w:spacing w:before="300" w:after="200"/>
      <w:contextualSpacing/>
      <w:jc w:val="left"/>
    </w:pPr>
    <w:rPr>
      <w:rFonts w:ascii="Times New Roman" w:hAnsi="Times New Roman" w:eastAsia="Calibri" w:cs="" w:cstheme="minorBidi" w:eastAsiaTheme="minorHAnsi"/>
      <w:color w:val="auto"/>
      <w:kern w:val="0"/>
      <w:sz w:val="48"/>
      <w:szCs w:val="48"/>
      <w:lang w:val="ru-RU" w:eastAsia="en-US" w:bidi="ar-SA"/>
    </w:rPr>
  </w:style>
  <w:style w:type="numbering" w:styleId="NoList" w:default="1">
    <w:name w:val="No List"/>
    <w:uiPriority w:val="99"/>
    <w:semiHidden/>
    <w:unhideWhenUsed/>
    <w:qFormat/>
  </w:style>
  <w:style w:type="table" w:default="1" w:styleId="aa">
    <w:name w:val="Normal Table"/>
    <w:uiPriority w:val="99"/>
    <w:semiHidden/>
    <w:unhideWhenUsed/>
    <w:tblPr>
      <w:tblCellMar>
        <w:top w:w="0" w:type="dxa"/>
        <w:left w:w="108" w:type="dxa"/>
        <w:bottom w:w="0" w:type="dxa"/>
        <w:right w:w="108" w:type="dxa"/>
      </w:tblCellMar>
    </w:tblPr>
  </w:style>
  <w:style w:type="table" w:customStyle="1" w:styleId="af9">
    <w:name w:val="[РГ] Таблица"/>
    <w:basedOn w:val="aa"/>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a">
    <w:name w:val="Table Grid"/>
    <w:basedOn w:val="aa"/>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package" Target="embeddings/oleObject1.docx"/><Relationship Id="rId9" Type="http://schemas.openxmlformats.org/officeDocument/2006/relationships/image" Target="media/image1.wmf"/><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header" Target="header6.xml"/><Relationship Id="rId15" Type="http://schemas.openxmlformats.org/officeDocument/2006/relationships/header" Target="header7.xml"/><Relationship Id="rId16" Type="http://schemas.openxmlformats.org/officeDocument/2006/relationships/footer" Target="footer6.xml"/><Relationship Id="rId17" Type="http://schemas.openxmlformats.org/officeDocument/2006/relationships/footer" Target="footer7.xml"/><Relationship Id="rId18" Type="http://schemas.openxmlformats.org/officeDocument/2006/relationships/package" Target="embeddings/oleObject2.docx"/><Relationship Id="rId19" Type="http://schemas.openxmlformats.org/officeDocument/2006/relationships/image" Target="media/image2.wmf"/><Relationship Id="rId20" Type="http://schemas.openxmlformats.org/officeDocument/2006/relationships/package" Target="embeddings/oleObject3.docx"/><Relationship Id="rId21" Type="http://schemas.openxmlformats.org/officeDocument/2006/relationships/image" Target="media/image3.wmf"/><Relationship Id="rId22" Type="http://schemas.openxmlformats.org/officeDocument/2006/relationships/header" Target="header8.xml"/><Relationship Id="rId23" Type="http://schemas.openxmlformats.org/officeDocument/2006/relationships/header" Target="header9.xml"/><Relationship Id="rId24" Type="http://schemas.openxmlformats.org/officeDocument/2006/relationships/footer" Target="footer8.xml"/><Relationship Id="rId25" Type="http://schemas.openxmlformats.org/officeDocument/2006/relationships/footer" Target="footer9.xml"/><Relationship Id="rId26" Type="http://schemas.openxmlformats.org/officeDocument/2006/relationships/header" Target="header10.xml"/><Relationship Id="rId27" Type="http://schemas.openxmlformats.org/officeDocument/2006/relationships/header" Target="header11.xml"/><Relationship Id="rId28" Type="http://schemas.openxmlformats.org/officeDocument/2006/relationships/footer" Target="footer10.xml"/><Relationship Id="rId29" Type="http://schemas.openxmlformats.org/officeDocument/2006/relationships/footer" Target="footer11.xml"/><Relationship Id="rId30" Type="http://schemas.openxmlformats.org/officeDocument/2006/relationships/package" Target="embeddings/oleObject4.xlsx"/><Relationship Id="rId31" Type="http://schemas.openxmlformats.org/officeDocument/2006/relationships/image" Target="media/image4.wmf"/><Relationship Id="rId32" Type="http://schemas.openxmlformats.org/officeDocument/2006/relationships/package" Target="embeddings/oleObject5.docx"/><Relationship Id="rId33" Type="http://schemas.openxmlformats.org/officeDocument/2006/relationships/image" Target="media/image5.wmf"/><Relationship Id="rId34" Type="http://schemas.openxmlformats.org/officeDocument/2006/relationships/header" Target="header12.xml"/><Relationship Id="rId35" Type="http://schemas.openxmlformats.org/officeDocument/2006/relationships/header" Target="header13.xml"/><Relationship Id="rId36" Type="http://schemas.openxmlformats.org/officeDocument/2006/relationships/footer" Target="footer12.xml"/><Relationship Id="rId37" Type="http://schemas.openxmlformats.org/officeDocument/2006/relationships/footer" Target="footer13.xml"/><Relationship Id="rId38" Type="http://schemas.openxmlformats.org/officeDocument/2006/relationships/footnotes" Target="footnotes.xml"/><Relationship Id="rId39" Type="http://schemas.openxmlformats.org/officeDocument/2006/relationships/numbering" Target="numbering.xml"/><Relationship Id="rId40" Type="http://schemas.openxmlformats.org/officeDocument/2006/relationships/fontTable" Target="fontTable.xml"/><Relationship Id="rId41" Type="http://schemas.openxmlformats.org/officeDocument/2006/relationships/settings" Target="settings.xml"/><Relationship Id="rId42" Type="http://schemas.openxmlformats.org/officeDocument/2006/relationships/theme" Target="theme/theme1.xml"/><Relationship Id="rId4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2C762-423D-4F68-A8A6-C6563AA1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Application>AlterOffice/2025.3.1.0$Linux_X86_64 LibreOffice_project/431cd1b79110582f53535c95ed0a2449aadc8bf9</Application>
  <AppVersion>15.0000</AppVersion>
  <Pages>78</Pages>
  <Words>18883</Words>
  <Characters>130025</Characters>
  <CharactersWithSpaces>145713</CharactersWithSpaces>
  <Paragraphs>1099</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evstratenko_av@DGK.RU</cp:lastModifiedBy>
  <dcterms:modified xsi:type="dcterms:W3CDTF">2026-08-24T17:06:56Z</dcterms:modified>
  <cp:revision>177</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